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Title"/>
        <w:spacing w:before="84"/>
      </w:pPr>
      <w:r>
        <w:rPr>
          <w:color w:val="2D74B5"/>
        </w:rPr>
        <w:t>CENTAR KOMPETENCIJA ZA NAPREDNO</w:t>
      </w:r>
      <w:r>
        <w:rPr>
          <w:color w:val="2D74B5"/>
          <w:spacing w:val="-97"/>
        </w:rPr>
        <w:t> </w:t>
      </w:r>
      <w:r>
        <w:rPr>
          <w:color w:val="2D74B5"/>
        </w:rPr>
        <w:t>INŽENJERSTVO</w:t>
      </w:r>
      <w:r>
        <w:rPr>
          <w:color w:val="2D74B5"/>
          <w:spacing w:val="-3"/>
        </w:rPr>
        <w:t> </w:t>
      </w:r>
      <w:r>
        <w:rPr>
          <w:color w:val="2D74B5"/>
        </w:rPr>
        <w:t>NOVA</w:t>
      </w:r>
      <w:r>
        <w:rPr>
          <w:color w:val="2D74B5"/>
          <w:spacing w:val="-3"/>
        </w:rPr>
        <w:t> </w:t>
      </w:r>
      <w:r>
        <w:rPr>
          <w:color w:val="2D74B5"/>
        </w:rPr>
        <w:t>GRADIŠKA d.o.o.</w:t>
      </w:r>
    </w:p>
    <w:p>
      <w:pPr>
        <w:pStyle w:val="BodyText"/>
        <w:rPr>
          <w:b/>
          <w:sz w:val="40"/>
        </w:rPr>
      </w:pPr>
    </w:p>
    <w:p>
      <w:pPr>
        <w:pStyle w:val="Title"/>
        <w:ind w:left="1407" w:right="1402"/>
      </w:pPr>
      <w:r>
        <w:rPr>
          <w:color w:val="2D74B5"/>
        </w:rPr>
        <w:t>PLAN RADA I FINANCIJSKI PLAN</w:t>
      </w:r>
      <w:r>
        <w:rPr>
          <w:color w:val="2D74B5"/>
          <w:spacing w:val="-97"/>
        </w:rPr>
        <w:t> </w:t>
      </w:r>
      <w:r>
        <w:rPr>
          <w:color w:val="2D74B5"/>
        </w:rPr>
        <w:t>ZA</w:t>
      </w:r>
      <w:r>
        <w:rPr>
          <w:color w:val="2D74B5"/>
          <w:spacing w:val="-1"/>
        </w:rPr>
        <w:t> </w:t>
      </w:r>
      <w:r>
        <w:rPr>
          <w:color w:val="2D74B5"/>
        </w:rPr>
        <w:t>2021.</w:t>
      </w:r>
      <w:r>
        <w:rPr>
          <w:color w:val="2D74B5"/>
          <w:spacing w:val="4"/>
        </w:rPr>
        <w:t> </w:t>
      </w:r>
      <w:r>
        <w:rPr>
          <w:color w:val="2D74B5"/>
        </w:rPr>
        <w:t>GODINU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4"/>
        <w:rPr>
          <w:b/>
          <w:sz w:val="39"/>
        </w:rPr>
      </w:pPr>
    </w:p>
    <w:p>
      <w:pPr>
        <w:pStyle w:val="BodyText"/>
        <w:spacing w:before="1"/>
        <w:ind w:left="610" w:right="606"/>
        <w:jc w:val="center"/>
      </w:pPr>
      <w:r>
        <w:rPr>
          <w:color w:val="000080"/>
        </w:rPr>
        <w:t>Nova</w:t>
      </w:r>
      <w:r>
        <w:rPr>
          <w:color w:val="000080"/>
          <w:spacing w:val="-3"/>
        </w:rPr>
        <w:t> </w:t>
      </w:r>
      <w:r>
        <w:rPr>
          <w:color w:val="000080"/>
        </w:rPr>
        <w:t>Gradiška, prosinac</w:t>
      </w:r>
      <w:r>
        <w:rPr>
          <w:color w:val="000080"/>
          <w:spacing w:val="-1"/>
        </w:rPr>
        <w:t> </w:t>
      </w:r>
      <w:r>
        <w:rPr>
          <w:color w:val="000080"/>
        </w:rPr>
        <w:t>2020.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40"/>
          <w:pgMar w:header="692" w:footer="772" w:top="1580" w:bottom="960" w:left="1300" w:right="1300"/>
          <w:pgNumType w:start="1"/>
        </w:sectPr>
      </w:pPr>
    </w:p>
    <w:p>
      <w:pPr>
        <w:spacing w:line="275" w:lineRule="exact" w:before="80"/>
        <w:ind w:left="118" w:right="0" w:firstLine="0"/>
        <w:jc w:val="left"/>
        <w:rPr>
          <w:b/>
          <w:sz w:val="24"/>
        </w:rPr>
      </w:pPr>
      <w:r>
        <w:rPr>
          <w:b/>
          <w:color w:val="000080"/>
          <w:sz w:val="24"/>
          <w:u w:val="thick" w:color="000080"/>
        </w:rPr>
        <w:t>CENTAR</w:t>
      </w:r>
      <w:r>
        <w:rPr>
          <w:b/>
          <w:color w:val="000080"/>
          <w:spacing w:val="-2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KOMPETENCIJA</w:t>
      </w:r>
      <w:r>
        <w:rPr>
          <w:b/>
          <w:color w:val="000080"/>
          <w:spacing w:val="-1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ZA</w:t>
      </w:r>
      <w:r>
        <w:rPr>
          <w:b/>
          <w:color w:val="000080"/>
          <w:spacing w:val="-1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NAPREDNO</w:t>
      </w:r>
      <w:r>
        <w:rPr>
          <w:b/>
          <w:color w:val="000080"/>
          <w:spacing w:val="-1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INŽENJERSTVO</w:t>
      </w:r>
      <w:r>
        <w:rPr>
          <w:b/>
          <w:color w:val="000080"/>
          <w:spacing w:val="-3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NOVA</w:t>
      </w:r>
      <w:r>
        <w:rPr>
          <w:b/>
          <w:color w:val="000080"/>
          <w:spacing w:val="-1"/>
          <w:sz w:val="24"/>
          <w:u w:val="thick" w:color="000080"/>
        </w:rPr>
        <w:t> </w:t>
      </w:r>
      <w:r>
        <w:rPr>
          <w:b/>
          <w:color w:val="000080"/>
          <w:sz w:val="24"/>
          <w:u w:val="thick" w:color="000080"/>
        </w:rPr>
        <w:t>GRADIŠKA</w:t>
      </w:r>
    </w:p>
    <w:p>
      <w:pPr>
        <w:spacing w:line="275" w:lineRule="exact" w:before="0"/>
        <w:ind w:left="118" w:right="0" w:firstLine="0"/>
        <w:jc w:val="left"/>
        <w:rPr>
          <w:b/>
          <w:sz w:val="24"/>
        </w:rPr>
      </w:pPr>
      <w:r>
        <w:rPr>
          <w:b/>
          <w:color w:val="000080"/>
          <w:sz w:val="24"/>
          <w:u w:val="thick" w:color="000080"/>
        </w:rPr>
        <w:t>d.o.o.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spacing w:before="9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Uvod</w:t>
      </w:r>
    </w:p>
    <w:p>
      <w:pPr>
        <w:pStyle w:val="BodyText"/>
        <w:spacing w:before="3"/>
        <w:rPr>
          <w:i/>
          <w:sz w:val="31"/>
        </w:rPr>
      </w:pPr>
    </w:p>
    <w:p>
      <w:pPr>
        <w:pStyle w:val="BodyText"/>
        <w:spacing w:line="237" w:lineRule="auto"/>
        <w:ind w:left="118" w:right="110"/>
        <w:jc w:val="both"/>
      </w:pPr>
      <w:r>
        <w:rPr/>
        <w:t>CEKOM NI NG je pravni subjekt koji je osnovan radi poticanja gospodarskog razvoja putem</w:t>
      </w:r>
      <w:r>
        <w:rPr>
          <w:spacing w:val="1"/>
        </w:rPr>
        <w:t> </w:t>
      </w:r>
      <w:r>
        <w:rPr/>
        <w:t>primjene</w:t>
      </w:r>
      <w:r>
        <w:rPr>
          <w:spacing w:val="-1"/>
        </w:rPr>
        <w:t> </w:t>
      </w:r>
      <w:r>
        <w:rPr/>
        <w:t>istraživanja i razvoja</w:t>
      </w:r>
      <w:r>
        <w:rPr>
          <w:spacing w:val="-3"/>
        </w:rPr>
        <w:t> </w:t>
      </w:r>
      <w:r>
        <w:rPr/>
        <w:t>i</w:t>
      </w:r>
      <w:r>
        <w:rPr>
          <w:spacing w:val="2"/>
        </w:rPr>
        <w:t> </w:t>
      </w:r>
      <w:r>
        <w:rPr/>
        <w:t>komercijalizacije inovacija</w:t>
      </w:r>
      <w:r>
        <w:rPr>
          <w:spacing w:val="1"/>
        </w:rPr>
        <w:t> </w:t>
      </w:r>
      <w:r>
        <w:rPr/>
        <w:t>u</w:t>
      </w:r>
      <w:r>
        <w:rPr>
          <w:spacing w:val="-1"/>
        </w:rPr>
        <w:t> </w:t>
      </w:r>
      <w:r>
        <w:rPr/>
        <w:t>poslovnom sektoru.</w:t>
      </w:r>
    </w:p>
    <w:p>
      <w:pPr>
        <w:pStyle w:val="BodyText"/>
        <w:spacing w:line="237" w:lineRule="auto" w:before="6"/>
        <w:ind w:left="118" w:right="133"/>
        <w:jc w:val="both"/>
      </w:pPr>
      <w:r>
        <w:rPr>
          <w:spacing w:val="-1"/>
        </w:rPr>
        <w:t>Glavni</w:t>
      </w:r>
      <w:r>
        <w:rPr>
          <w:spacing w:val="-12"/>
        </w:rPr>
        <w:t> </w:t>
      </w:r>
      <w:r>
        <w:rPr>
          <w:spacing w:val="-1"/>
        </w:rPr>
        <w:t>cilj</w:t>
      </w:r>
      <w:r>
        <w:rPr>
          <w:spacing w:val="-10"/>
        </w:rPr>
        <w:t> </w:t>
      </w:r>
      <w:r>
        <w:rPr>
          <w:spacing w:val="-1"/>
        </w:rPr>
        <w:t>CEKOM-a</w:t>
      </w:r>
      <w:r>
        <w:rPr>
          <w:spacing w:val="-11"/>
        </w:rPr>
        <w:t> </w:t>
      </w:r>
      <w:r>
        <w:rPr/>
        <w:t>je</w:t>
      </w:r>
      <w:r>
        <w:rPr>
          <w:spacing w:val="-10"/>
        </w:rPr>
        <w:t> </w:t>
      </w:r>
      <w:r>
        <w:rPr/>
        <w:t>povećati</w:t>
      </w:r>
      <w:r>
        <w:rPr>
          <w:spacing w:val="-12"/>
        </w:rPr>
        <w:t> </w:t>
      </w:r>
      <w:r>
        <w:rPr/>
        <w:t>konkurentnost</w:t>
      </w:r>
      <w:r>
        <w:rPr>
          <w:spacing w:val="-11"/>
        </w:rPr>
        <w:t> </w:t>
      </w:r>
      <w:r>
        <w:rPr/>
        <w:t>poslovnog</w:t>
      </w:r>
      <w:r>
        <w:rPr>
          <w:spacing w:val="-15"/>
        </w:rPr>
        <w:t> </w:t>
      </w:r>
      <w:r>
        <w:rPr/>
        <w:t>sektora</w:t>
      </w:r>
      <w:r>
        <w:rPr>
          <w:spacing w:val="-12"/>
        </w:rPr>
        <w:t> </w:t>
      </w:r>
      <w:r>
        <w:rPr/>
        <w:t>kroz</w:t>
      </w:r>
      <w:r>
        <w:rPr>
          <w:spacing w:val="-12"/>
        </w:rPr>
        <w:t> </w:t>
      </w:r>
      <w:r>
        <w:rPr/>
        <w:t>ulaganja</w:t>
      </w:r>
      <w:r>
        <w:rPr>
          <w:spacing w:val="-15"/>
        </w:rPr>
        <w:t> </w:t>
      </w:r>
      <w:r>
        <w:rPr/>
        <w:t>u</w:t>
      </w:r>
      <w:r>
        <w:rPr>
          <w:spacing w:val="-12"/>
        </w:rPr>
        <w:t> </w:t>
      </w:r>
      <w:r>
        <w:rPr/>
        <w:t>istraživanje</w:t>
      </w:r>
      <w:r>
        <w:rPr>
          <w:spacing w:val="-57"/>
        </w:rPr>
        <w:t> </w:t>
      </w:r>
      <w:r>
        <w:rPr/>
        <w:t>i</w:t>
      </w:r>
      <w:r>
        <w:rPr>
          <w:spacing w:val="-1"/>
        </w:rPr>
        <w:t> </w:t>
      </w:r>
      <w:r>
        <w:rPr/>
        <w:t>razvoj, te povećanje ulaganja poslovnog</w:t>
      </w:r>
      <w:r>
        <w:rPr>
          <w:spacing w:val="-3"/>
        </w:rPr>
        <w:t> </w:t>
      </w:r>
      <w:r>
        <w:rPr/>
        <w:t>sektora</w:t>
      </w:r>
      <w:r>
        <w:rPr>
          <w:spacing w:val="2"/>
        </w:rPr>
        <w:t> </w:t>
      </w:r>
      <w:r>
        <w:rPr/>
        <w:t>u istraživanje i</w:t>
      </w:r>
      <w:r>
        <w:rPr>
          <w:spacing w:val="-8"/>
        </w:rPr>
        <w:t> </w:t>
      </w:r>
      <w:r>
        <w:rPr/>
        <w:t>razvoj.</w:t>
      </w:r>
    </w:p>
    <w:p>
      <w:pPr>
        <w:pStyle w:val="BodyText"/>
        <w:spacing w:before="1"/>
      </w:pPr>
    </w:p>
    <w:p>
      <w:pPr>
        <w:pStyle w:val="BodyText"/>
        <w:tabs>
          <w:tab w:pos="1059" w:val="left" w:leader="none"/>
          <w:tab w:pos="1344" w:val="left" w:leader="none"/>
          <w:tab w:pos="2171" w:val="left" w:leader="none"/>
          <w:tab w:pos="2510" w:val="left" w:leader="none"/>
          <w:tab w:pos="3885" w:val="left" w:leader="none"/>
          <w:tab w:pos="5049" w:val="left" w:leader="none"/>
          <w:tab w:pos="5480" w:val="left" w:leader="none"/>
          <w:tab w:pos="5923" w:val="left" w:leader="none"/>
          <w:tab w:pos="7222" w:val="left" w:leader="none"/>
          <w:tab w:pos="8225" w:val="left" w:leader="none"/>
        </w:tabs>
        <w:ind w:left="118" w:right="118"/>
      </w:pPr>
      <w:r>
        <w:rPr/>
        <w:t>Poslovi</w:t>
        <w:tab/>
        <w:t>i</w:t>
        <w:tab/>
        <w:t>zadaci</w:t>
        <w:tab/>
        <w:t>u</w:t>
        <w:tab/>
        <w:t>2021.godini</w:t>
        <w:tab/>
        <w:t>usmjereni</w:t>
        <w:tab/>
        <w:t>su</w:t>
        <w:tab/>
        <w:t>na</w:t>
        <w:tab/>
        <w:t>provođenje</w:t>
        <w:tab/>
        <w:t>projekta</w:t>
        <w:tab/>
      </w:r>
      <w:r>
        <w:rPr>
          <w:spacing w:val="-1"/>
        </w:rPr>
        <w:t>CENTAR</w:t>
      </w:r>
      <w:r>
        <w:rPr>
          <w:spacing w:val="-57"/>
        </w:rPr>
        <w:t> </w:t>
      </w:r>
      <w:r>
        <w:rPr/>
        <w:t>KOMPETENCIJA</w:t>
      </w:r>
      <w:r>
        <w:rPr>
          <w:spacing w:val="58"/>
        </w:rPr>
        <w:t> </w:t>
      </w:r>
      <w:r>
        <w:rPr/>
        <w:t>ZA</w:t>
      </w:r>
      <w:r>
        <w:rPr>
          <w:spacing w:val="1"/>
        </w:rPr>
        <w:t> </w:t>
      </w:r>
      <w:r>
        <w:rPr/>
        <w:t>NAPREDNO</w:t>
      </w:r>
      <w:r>
        <w:rPr>
          <w:spacing w:val="1"/>
        </w:rPr>
        <w:t> </w:t>
      </w:r>
      <w:r>
        <w:rPr/>
        <w:t>INŽENJESTVO</w:t>
      </w:r>
      <w:r>
        <w:rPr>
          <w:spacing w:val="56"/>
        </w:rPr>
        <w:t> </w:t>
      </w:r>
      <w:r>
        <w:rPr/>
        <w:t>NOVA</w:t>
      </w:r>
      <w:r>
        <w:rPr>
          <w:spacing w:val="59"/>
        </w:rPr>
        <w:t> </w:t>
      </w:r>
      <w:r>
        <w:rPr/>
        <w:t>GRADIŠKA</w:t>
      </w:r>
      <w:r>
        <w:rPr>
          <w:spacing w:val="58"/>
        </w:rPr>
        <w:t> </w:t>
      </w:r>
      <w:r>
        <w:rPr/>
        <w:t>te</w:t>
      </w:r>
      <w:r>
        <w:rPr>
          <w:spacing w:val="1"/>
        </w:rPr>
        <w:t> </w:t>
      </w:r>
      <w:r>
        <w:rPr/>
        <w:t>doprinose</w:t>
      </w:r>
    </w:p>
    <w:p>
      <w:pPr>
        <w:pStyle w:val="BodyText"/>
        <w:ind w:left="118"/>
      </w:pPr>
      <w:r>
        <w:rPr/>
        <w:t>ostvarenju</w:t>
      </w:r>
      <w:r>
        <w:rPr>
          <w:spacing w:val="-1"/>
        </w:rPr>
        <w:t> </w:t>
      </w:r>
      <w:r>
        <w:rPr/>
        <w:t>misije i ciljeva ovog</w:t>
      </w:r>
      <w:r>
        <w:rPr>
          <w:spacing w:val="-3"/>
        </w:rPr>
        <w:t> </w:t>
      </w:r>
      <w:r>
        <w:rPr/>
        <w:t>strateškog</w:t>
      </w:r>
      <w:r>
        <w:rPr>
          <w:spacing w:val="-3"/>
        </w:rPr>
        <w:t> </w:t>
      </w:r>
      <w:r>
        <w:rPr/>
        <w:t>istraživačko razvojnog</w:t>
      </w:r>
      <w:r>
        <w:rPr>
          <w:spacing w:val="-3"/>
        </w:rPr>
        <w:t> </w:t>
      </w:r>
      <w:r>
        <w:rPr/>
        <w:t>projekta.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76" w:lineRule="auto"/>
        <w:ind w:left="118" w:right="106"/>
        <w:jc w:val="both"/>
      </w:pPr>
      <w:r>
        <w:rPr/>
        <w:t>Tijekom 2021. godine plan je izgraditi poslovnu građevinu Centra kompetencija za napredno</w:t>
      </w:r>
      <w:r>
        <w:rPr>
          <w:spacing w:val="1"/>
        </w:rPr>
        <w:t> </w:t>
      </w:r>
      <w:r>
        <w:rPr/>
        <w:t>inženjerstvo, nabaviti opremu, te započeti sa istraživanjima i razvojem novih proizvoda, te</w:t>
      </w:r>
      <w:r>
        <w:rPr>
          <w:spacing w:val="1"/>
        </w:rPr>
        <w:t> </w:t>
      </w:r>
      <w:r>
        <w:rPr/>
        <w:t>ostvarenje</w:t>
      </w:r>
      <w:r>
        <w:rPr>
          <w:spacing w:val="-1"/>
        </w:rPr>
        <w:t> </w:t>
      </w:r>
      <w:r>
        <w:rPr/>
        <w:t>jednog</w:t>
      </w:r>
      <w:r>
        <w:rPr>
          <w:spacing w:val="-3"/>
        </w:rPr>
        <w:t> </w:t>
      </w:r>
      <w:r>
        <w:rPr/>
        <w:t>dijela</w:t>
      </w:r>
      <w:r>
        <w:rPr>
          <w:spacing w:val="2"/>
        </w:rPr>
        <w:t> </w:t>
      </w:r>
      <w:r>
        <w:rPr/>
        <w:t>zadanih ciljeva projekta.</w:t>
      </w:r>
    </w:p>
    <w:p>
      <w:pPr>
        <w:pStyle w:val="BodyText"/>
        <w:spacing w:before="8"/>
        <w:rPr>
          <w:sz w:val="29"/>
        </w:rPr>
      </w:pPr>
    </w:p>
    <w:p>
      <w:pPr>
        <w:pStyle w:val="BodyText"/>
        <w:spacing w:line="300" w:lineRule="auto"/>
        <w:ind w:left="118" w:right="109"/>
        <w:jc w:val="both"/>
      </w:pPr>
      <w:r>
        <w:rPr/>
        <w:t>Planiran ukupan implementacijski period CEKOM-a je 54 mjeseca s tim da investicijska faza</w:t>
      </w:r>
      <w:r>
        <w:rPr>
          <w:spacing w:val="1"/>
        </w:rPr>
        <w:t> </w:t>
      </w:r>
      <w:r>
        <w:rPr/>
        <w:t>traje 18 mjeseci a operativna faza 36 mjeseci. Razdoblje provedbe projekta traje od 01. srpnja</w:t>
      </w:r>
      <w:r>
        <w:rPr>
          <w:spacing w:val="1"/>
        </w:rPr>
        <w:t> </w:t>
      </w:r>
      <w:r>
        <w:rPr/>
        <w:t>2020.</w:t>
      </w:r>
      <w:r>
        <w:rPr>
          <w:spacing w:val="-1"/>
        </w:rPr>
        <w:t> </w:t>
      </w:r>
      <w:r>
        <w:rPr/>
        <w:t>godine do 01. siječnja 2025. godine.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300" w:lineRule="auto"/>
        <w:ind w:left="118" w:right="107"/>
        <w:jc w:val="both"/>
      </w:pPr>
      <w:r>
        <w:rPr/>
        <w:t>Ključne aktivnosti u Investicijskoj fazi projekta uključuju: izvođenje građevinskih radova</w:t>
      </w:r>
      <w:r>
        <w:rPr>
          <w:spacing w:val="1"/>
        </w:rPr>
        <w:t> </w:t>
      </w:r>
      <w:r>
        <w:rPr/>
        <w:t>(okvirna vrijednost 42,5 mil kn), nabava opreme i usluga (okvirna vrijednost 28,5 mil kn),</w:t>
      </w:r>
      <w:r>
        <w:rPr>
          <w:spacing w:val="1"/>
        </w:rPr>
        <w:t> </w:t>
      </w:r>
      <w:r>
        <w:rPr/>
        <w:t>unapređenje regionalne i međunarodne suradnje; uspostavu tehničke strukture CEKOM-a, te</w:t>
      </w:r>
      <w:r>
        <w:rPr>
          <w:spacing w:val="1"/>
        </w:rPr>
        <w:t> </w:t>
      </w:r>
      <w:r>
        <w:rPr/>
        <w:t>edukaciju</w:t>
      </w:r>
      <w:r>
        <w:rPr>
          <w:spacing w:val="1"/>
        </w:rPr>
        <w:t> </w:t>
      </w:r>
      <w:r>
        <w:rPr/>
        <w:t>zaposlenika</w:t>
      </w:r>
      <w:r>
        <w:rPr>
          <w:spacing w:val="-3"/>
        </w:rPr>
        <w:t> </w:t>
      </w:r>
      <w:r>
        <w:rPr/>
        <w:t>CEKOM-a</w:t>
      </w:r>
      <w:r>
        <w:rPr>
          <w:spacing w:val="-3"/>
        </w:rPr>
        <w:t> </w:t>
      </w:r>
      <w:r>
        <w:rPr/>
        <w:t>(6 djelatnika).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00" w:lineRule="auto" w:before="1"/>
        <w:ind w:left="118" w:right="94"/>
      </w:pPr>
      <w:r>
        <w:rPr/>
        <w:t>Ključne aktivnosti u operativnoj fazi projekta uključuju provođenje sedam kolaborativnih RDI</w:t>
      </w:r>
      <w:r>
        <w:rPr>
          <w:spacing w:val="-57"/>
        </w:rPr>
        <w:t> </w:t>
      </w:r>
      <w:r>
        <w:rPr/>
        <w:t>projekata</w:t>
      </w:r>
      <w:r>
        <w:rPr>
          <w:spacing w:val="-1"/>
        </w:rPr>
        <w:t> </w:t>
      </w:r>
      <w:r>
        <w:rPr/>
        <w:t>u ciljanim</w:t>
      </w:r>
      <w:r>
        <w:rPr>
          <w:spacing w:val="2"/>
        </w:rPr>
        <w:t> </w:t>
      </w:r>
      <w:r>
        <w:rPr/>
        <w:t>TPP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3" w:after="0"/>
        <w:ind w:left="826" w:right="0" w:hanging="709"/>
        <w:jc w:val="left"/>
        <w:rPr>
          <w:sz w:val="24"/>
        </w:rPr>
      </w:pPr>
      <w:r>
        <w:rPr>
          <w:sz w:val="24"/>
        </w:rPr>
        <w:t>industrijsko istraživanje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eksperimentalni</w:t>
      </w:r>
      <w:r>
        <w:rPr>
          <w:spacing w:val="-2"/>
          <w:sz w:val="24"/>
        </w:rPr>
        <w:t> </w:t>
      </w:r>
      <w:r>
        <w:rPr>
          <w:sz w:val="24"/>
        </w:rPr>
        <w:t>razvoj,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67" w:after="0"/>
        <w:ind w:left="826" w:right="0" w:hanging="709"/>
        <w:jc w:val="left"/>
        <w:rPr>
          <w:sz w:val="24"/>
        </w:rPr>
      </w:pPr>
      <w:r>
        <w:rPr>
          <w:sz w:val="24"/>
        </w:rPr>
        <w:t>izradu</w:t>
      </w:r>
      <w:r>
        <w:rPr>
          <w:spacing w:val="-1"/>
          <w:sz w:val="24"/>
        </w:rPr>
        <w:t> </w:t>
      </w:r>
      <w:r>
        <w:rPr>
          <w:sz w:val="24"/>
        </w:rPr>
        <w:t>pet</w:t>
      </w:r>
      <w:r>
        <w:rPr>
          <w:spacing w:val="-2"/>
          <w:sz w:val="24"/>
        </w:rPr>
        <w:t> </w:t>
      </w:r>
      <w:r>
        <w:rPr>
          <w:sz w:val="24"/>
        </w:rPr>
        <w:t>studija</w:t>
      </w:r>
      <w:r>
        <w:rPr>
          <w:spacing w:val="-3"/>
          <w:sz w:val="24"/>
        </w:rPr>
        <w:t> </w:t>
      </w:r>
      <w:r>
        <w:rPr>
          <w:sz w:val="24"/>
        </w:rPr>
        <w:t>izvedivosti</w:t>
      </w:r>
      <w:r>
        <w:rPr>
          <w:spacing w:val="2"/>
          <w:sz w:val="24"/>
        </w:rPr>
        <w:t> </w:t>
      </w:r>
      <w:r>
        <w:rPr>
          <w:sz w:val="24"/>
        </w:rPr>
        <w:t>za</w:t>
      </w:r>
      <w:r>
        <w:rPr>
          <w:spacing w:val="-3"/>
          <w:sz w:val="24"/>
        </w:rPr>
        <w:t> </w:t>
      </w:r>
      <w:r>
        <w:rPr>
          <w:sz w:val="24"/>
        </w:rPr>
        <w:t>poduzetnike (okvirna</w:t>
      </w:r>
      <w:r>
        <w:rPr>
          <w:spacing w:val="-1"/>
          <w:sz w:val="24"/>
        </w:rPr>
        <w:t> </w:t>
      </w:r>
      <w:r>
        <w:rPr>
          <w:sz w:val="24"/>
        </w:rPr>
        <w:t>vrijednost oko 28,5</w:t>
      </w:r>
      <w:r>
        <w:rPr>
          <w:spacing w:val="2"/>
          <w:sz w:val="24"/>
        </w:rPr>
        <w:t> </w:t>
      </w:r>
      <w:r>
        <w:rPr>
          <w:sz w:val="24"/>
        </w:rPr>
        <w:t>mil</w:t>
      </w:r>
      <w:r>
        <w:rPr>
          <w:spacing w:val="-5"/>
          <w:sz w:val="24"/>
        </w:rPr>
        <w:t> </w:t>
      </w:r>
      <w:r>
        <w:rPr>
          <w:sz w:val="24"/>
        </w:rPr>
        <w:t>kn),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68" w:after="0"/>
        <w:ind w:left="826" w:right="0" w:hanging="709"/>
        <w:jc w:val="left"/>
        <w:rPr>
          <w:sz w:val="24"/>
        </w:rPr>
      </w:pPr>
      <w:r>
        <w:rPr>
          <w:sz w:val="24"/>
        </w:rPr>
        <w:t>pružanje RDI</w:t>
      </w:r>
      <w:r>
        <w:rPr>
          <w:spacing w:val="-4"/>
          <w:sz w:val="24"/>
        </w:rPr>
        <w:t> </w:t>
      </w:r>
      <w:r>
        <w:rPr>
          <w:sz w:val="24"/>
        </w:rPr>
        <w:t>usluga i edukacijskih programa</w:t>
      </w:r>
      <w:r>
        <w:rPr>
          <w:spacing w:val="-1"/>
          <w:sz w:val="24"/>
        </w:rPr>
        <w:t> </w:t>
      </w:r>
      <w:r>
        <w:rPr>
          <w:sz w:val="24"/>
        </w:rPr>
        <w:t>u području naprednog</w:t>
      </w:r>
      <w:r>
        <w:rPr>
          <w:spacing w:val="-12"/>
          <w:sz w:val="24"/>
        </w:rPr>
        <w:t> </w:t>
      </w:r>
      <w:r>
        <w:rPr>
          <w:sz w:val="24"/>
        </w:rPr>
        <w:t>inženjerstva,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69" w:after="0"/>
        <w:ind w:left="826" w:right="0" w:hanging="709"/>
        <w:jc w:val="left"/>
        <w:rPr>
          <w:sz w:val="24"/>
        </w:rPr>
      </w:pPr>
      <w:r>
        <w:rPr>
          <w:sz w:val="24"/>
        </w:rPr>
        <w:t>razvoj</w:t>
      </w:r>
      <w:r>
        <w:rPr>
          <w:spacing w:val="-1"/>
          <w:sz w:val="24"/>
        </w:rPr>
        <w:t> </w:t>
      </w:r>
      <w:r>
        <w:rPr>
          <w:sz w:val="24"/>
        </w:rPr>
        <w:t>novih proizvoda i</w:t>
      </w:r>
      <w:r>
        <w:rPr>
          <w:spacing w:val="-4"/>
          <w:sz w:val="24"/>
        </w:rPr>
        <w:t> </w:t>
      </w:r>
      <w:r>
        <w:rPr>
          <w:sz w:val="24"/>
        </w:rPr>
        <w:t>usluga, transfer</w:t>
      </w:r>
      <w:r>
        <w:rPr>
          <w:spacing w:val="-3"/>
          <w:sz w:val="24"/>
        </w:rPr>
        <w:t> </w:t>
      </w:r>
      <w:r>
        <w:rPr>
          <w:sz w:val="24"/>
        </w:rPr>
        <w:t>tehnologije</w:t>
      </w:r>
      <w:r>
        <w:rPr>
          <w:spacing w:val="-1"/>
          <w:sz w:val="24"/>
        </w:rPr>
        <w:t> </w:t>
      </w:r>
      <w:r>
        <w:rPr>
          <w:sz w:val="24"/>
        </w:rPr>
        <w:t>i komercijalizacije</w:t>
      </w:r>
      <w:r>
        <w:rPr>
          <w:spacing w:val="-12"/>
          <w:sz w:val="24"/>
        </w:rPr>
        <w:t> </w:t>
      </w:r>
      <w:r>
        <w:rPr>
          <w:sz w:val="24"/>
        </w:rPr>
        <w:t>inovacija,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68" w:after="0"/>
        <w:ind w:left="826" w:right="0" w:hanging="709"/>
        <w:jc w:val="left"/>
        <w:rPr>
          <w:sz w:val="24"/>
        </w:rPr>
      </w:pPr>
      <w:r>
        <w:rPr>
          <w:sz w:val="24"/>
        </w:rPr>
        <w:t>ispitivanje</w:t>
      </w:r>
      <w:r>
        <w:rPr>
          <w:spacing w:val="-1"/>
          <w:sz w:val="24"/>
        </w:rPr>
        <w:t> </w:t>
      </w:r>
      <w:r>
        <w:rPr>
          <w:sz w:val="24"/>
        </w:rPr>
        <w:t>kvalitete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certificiranje,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72" w:after="0"/>
        <w:ind w:left="826" w:right="0" w:hanging="709"/>
        <w:jc w:val="left"/>
        <w:rPr>
          <w:sz w:val="24"/>
        </w:rPr>
      </w:pPr>
      <w:r>
        <w:rPr>
          <w:sz w:val="24"/>
        </w:rPr>
        <w:t>upravljanje intelektualnim</w:t>
      </w:r>
      <w:r>
        <w:rPr>
          <w:spacing w:val="-3"/>
          <w:sz w:val="24"/>
        </w:rPr>
        <w:t> </w:t>
      </w:r>
      <w:r>
        <w:rPr>
          <w:sz w:val="24"/>
        </w:rPr>
        <w:t>vlasništvom,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97" w:lineRule="auto" w:before="69" w:after="0"/>
        <w:ind w:left="826" w:right="356" w:hanging="708"/>
        <w:jc w:val="left"/>
        <w:rPr>
          <w:sz w:val="24"/>
        </w:rPr>
      </w:pPr>
      <w:r>
        <w:rPr>
          <w:sz w:val="24"/>
        </w:rPr>
        <w:t>najam prostora i opreme, te aktivnosti upravljanja projektom i aktivnosti vidljivosti i</w:t>
      </w:r>
      <w:r>
        <w:rPr>
          <w:spacing w:val="-57"/>
          <w:sz w:val="24"/>
        </w:rPr>
        <w:t> </w:t>
      </w:r>
      <w:r>
        <w:rPr>
          <w:sz w:val="24"/>
        </w:rPr>
        <w:t>komunikacije.</w:t>
      </w:r>
    </w:p>
    <w:p>
      <w:pPr>
        <w:spacing w:after="0" w:line="297" w:lineRule="auto"/>
        <w:jc w:val="left"/>
        <w:rPr>
          <w:sz w:val="24"/>
        </w:rPr>
        <w:sectPr>
          <w:pgSz w:w="11910" w:h="16840"/>
          <w:pgMar w:header="692" w:footer="772" w:top="1580" w:bottom="960" w:left="1300" w:right="1300"/>
        </w:sectPr>
      </w:pPr>
    </w:p>
    <w:p>
      <w:pPr>
        <w:pStyle w:val="BodyText"/>
        <w:spacing w:before="4"/>
        <w:rPr>
          <w:sz w:val="10"/>
        </w:rPr>
      </w:pPr>
    </w:p>
    <w:p>
      <w:pPr>
        <w:spacing w:before="89"/>
        <w:ind w:left="118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PLAN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RADA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ZA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2021.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godinu</w:t>
      </w:r>
    </w:p>
    <w:p>
      <w:pPr>
        <w:pStyle w:val="BodyText"/>
        <w:spacing w:before="2"/>
        <w:rPr>
          <w:b/>
          <w:i/>
          <w:sz w:val="36"/>
        </w:rPr>
      </w:pPr>
    </w:p>
    <w:p>
      <w:pPr>
        <w:pStyle w:val="BodyText"/>
        <w:spacing w:line="300" w:lineRule="auto"/>
        <w:ind w:left="118" w:right="109"/>
        <w:jc w:val="both"/>
      </w:pPr>
      <w:r>
        <w:rPr/>
        <w:t>U</w:t>
      </w:r>
      <w:r>
        <w:rPr>
          <w:spacing w:val="1"/>
        </w:rPr>
        <w:t> </w:t>
      </w:r>
      <w:r>
        <w:rPr/>
        <w:t>skladu</w:t>
      </w:r>
      <w:r>
        <w:rPr>
          <w:spacing w:val="1"/>
        </w:rPr>
        <w:t> </w:t>
      </w:r>
      <w:r>
        <w:rPr/>
        <w:t>sa strategijom</w:t>
      </w:r>
      <w:r>
        <w:rPr>
          <w:spacing w:val="1"/>
        </w:rPr>
        <w:t> </w:t>
      </w:r>
      <w:r>
        <w:rPr/>
        <w:t>poslovanja</w:t>
      </w:r>
      <w:r>
        <w:rPr>
          <w:spacing w:val="1"/>
        </w:rPr>
        <w:t> </w:t>
      </w:r>
      <w:r>
        <w:rPr/>
        <w:t>Društva ključne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prioritetne</w:t>
      </w:r>
      <w:r>
        <w:rPr>
          <w:spacing w:val="1"/>
        </w:rPr>
        <w:t> </w:t>
      </w:r>
      <w:r>
        <w:rPr/>
        <w:t>aktivnosti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2021.g.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usmjerene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provedbu</w:t>
      </w:r>
      <w:r>
        <w:rPr>
          <w:spacing w:val="-8"/>
        </w:rPr>
        <w:t> </w:t>
      </w:r>
      <w:r>
        <w:rPr/>
        <w:t>projekta</w:t>
      </w:r>
      <w:r>
        <w:rPr>
          <w:spacing w:val="-12"/>
        </w:rPr>
        <w:t> </w:t>
      </w:r>
      <w:r>
        <w:rPr/>
        <w:t>Centar</w:t>
      </w:r>
      <w:r>
        <w:rPr>
          <w:spacing w:val="-12"/>
        </w:rPr>
        <w:t> </w:t>
      </w:r>
      <w:r>
        <w:rPr/>
        <w:t>kompetencija</w:t>
      </w:r>
      <w:r>
        <w:rPr>
          <w:spacing w:val="-9"/>
        </w:rPr>
        <w:t> </w:t>
      </w:r>
      <w:r>
        <w:rPr/>
        <w:t>za</w:t>
      </w:r>
      <w:r>
        <w:rPr>
          <w:spacing w:val="-12"/>
        </w:rPr>
        <w:t> </w:t>
      </w:r>
      <w:r>
        <w:rPr/>
        <w:t>napredno</w:t>
      </w:r>
      <w:r>
        <w:rPr>
          <w:spacing w:val="-5"/>
        </w:rPr>
        <w:t> </w:t>
      </w:r>
      <w:r>
        <w:rPr/>
        <w:t>inženjerstvo</w:t>
      </w:r>
      <w:r>
        <w:rPr>
          <w:spacing w:val="-8"/>
        </w:rPr>
        <w:t> </w:t>
      </w:r>
      <w:r>
        <w:rPr/>
        <w:t>Nova</w:t>
      </w:r>
      <w:r>
        <w:rPr>
          <w:spacing w:val="-12"/>
        </w:rPr>
        <w:t> </w:t>
      </w:r>
      <w:r>
        <w:rPr/>
        <w:t>Gradiška,</w:t>
      </w:r>
      <w:r>
        <w:rPr>
          <w:spacing w:val="-58"/>
        </w:rPr>
        <w:t> </w:t>
      </w:r>
      <w:r>
        <w:rPr/>
        <w:t>izgradnju</w:t>
      </w:r>
      <w:r>
        <w:rPr>
          <w:spacing w:val="-6"/>
        </w:rPr>
        <w:t> </w:t>
      </w:r>
      <w:r>
        <w:rPr/>
        <w:t>poslovne</w:t>
      </w:r>
      <w:r>
        <w:rPr>
          <w:spacing w:val="-1"/>
        </w:rPr>
        <w:t> </w:t>
      </w:r>
      <w:r>
        <w:rPr/>
        <w:t>građevine,</w:t>
      </w:r>
      <w:r>
        <w:rPr>
          <w:spacing w:val="-6"/>
        </w:rPr>
        <w:t> </w:t>
      </w:r>
      <w:r>
        <w:rPr/>
        <w:t>nabavu</w:t>
      </w:r>
      <w:r>
        <w:rPr>
          <w:spacing w:val="-1"/>
        </w:rPr>
        <w:t> </w:t>
      </w:r>
      <w:r>
        <w:rPr/>
        <w:t>opreme</w:t>
      </w:r>
      <w:r>
        <w:rPr>
          <w:spacing w:val="-6"/>
        </w:rPr>
        <w:t> </w:t>
      </w:r>
      <w:r>
        <w:rPr/>
        <w:t>i</w:t>
      </w:r>
      <w:r>
        <w:rPr>
          <w:spacing w:val="-1"/>
        </w:rPr>
        <w:t> </w:t>
      </w:r>
      <w:r>
        <w:rPr/>
        <w:t>početak</w:t>
      </w:r>
      <w:r>
        <w:rPr>
          <w:spacing w:val="-4"/>
        </w:rPr>
        <w:t> </w:t>
      </w:r>
      <w:r>
        <w:rPr/>
        <w:t>istraživanja</w:t>
      </w:r>
      <w:r>
        <w:rPr>
          <w:spacing w:val="-2"/>
        </w:rPr>
        <w:t> </w:t>
      </w:r>
      <w:r>
        <w:rPr/>
        <w:t>i</w:t>
      </w:r>
      <w:r>
        <w:rPr>
          <w:spacing w:val="-6"/>
        </w:rPr>
        <w:t> </w:t>
      </w:r>
      <w:r>
        <w:rPr/>
        <w:t>razvoja</w:t>
      </w:r>
      <w:r>
        <w:rPr>
          <w:spacing w:val="-8"/>
        </w:rPr>
        <w:t> </w:t>
      </w:r>
      <w:r>
        <w:rPr/>
        <w:t>novih</w:t>
      </w:r>
      <w:r>
        <w:rPr>
          <w:spacing w:val="-4"/>
        </w:rPr>
        <w:t> </w:t>
      </w:r>
      <w:r>
        <w:rPr/>
        <w:t>proizvoda.</w:t>
      </w:r>
      <w:r>
        <w:rPr>
          <w:spacing w:val="-58"/>
        </w:rPr>
        <w:t> </w:t>
      </w:r>
      <w:r>
        <w:rPr/>
        <w:t>Planirane</w:t>
      </w:r>
      <w:r>
        <w:rPr>
          <w:spacing w:val="-1"/>
        </w:rPr>
        <w:t> </w:t>
      </w:r>
      <w:r>
        <w:rPr/>
        <w:t>aktivnosti vezano uz</w:t>
      </w:r>
      <w:r>
        <w:rPr>
          <w:spacing w:val="1"/>
        </w:rPr>
        <w:t> </w:t>
      </w:r>
      <w:r>
        <w:rPr/>
        <w:t>provođenje</w:t>
      </w:r>
      <w:r>
        <w:rPr>
          <w:spacing w:val="-3"/>
        </w:rPr>
        <w:t> </w:t>
      </w:r>
      <w:r>
        <w:rPr/>
        <w:t>projekta tijekom</w:t>
      </w:r>
      <w:r>
        <w:rPr>
          <w:spacing w:val="-1"/>
        </w:rPr>
        <w:t> </w:t>
      </w:r>
      <w:r>
        <w:rPr/>
        <w:t>2021. godine</w:t>
      </w:r>
      <w:r>
        <w:rPr>
          <w:spacing w:val="-8"/>
        </w:rPr>
        <w:t> </w:t>
      </w:r>
      <w:r>
        <w:rPr/>
        <w:t>uključuju: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</w:tabs>
        <w:spacing w:line="290" w:lineRule="auto" w:before="4" w:after="0"/>
        <w:ind w:left="1186" w:right="112" w:hanging="360"/>
        <w:jc w:val="both"/>
        <w:rPr>
          <w:sz w:val="24"/>
        </w:rPr>
      </w:pPr>
      <w:r>
        <w:rPr>
          <w:sz w:val="24"/>
        </w:rPr>
        <w:t>Izradu projektne dokumentacije za poslovnu infrastrukturu (poslovne građevine) i</w:t>
      </w:r>
      <w:r>
        <w:rPr>
          <w:spacing w:val="1"/>
          <w:sz w:val="24"/>
        </w:rPr>
        <w:t> </w:t>
      </w:r>
      <w:r>
        <w:rPr>
          <w:sz w:val="24"/>
        </w:rPr>
        <w:t>opremu</w:t>
      </w:r>
      <w:r>
        <w:rPr>
          <w:spacing w:val="-1"/>
          <w:sz w:val="24"/>
        </w:rPr>
        <w:t> </w:t>
      </w:r>
      <w:r>
        <w:rPr>
          <w:sz w:val="24"/>
        </w:rPr>
        <w:t>te</w:t>
      </w:r>
      <w:r>
        <w:rPr>
          <w:spacing w:val="1"/>
          <w:sz w:val="24"/>
        </w:rPr>
        <w:t> </w:t>
      </w:r>
      <w:r>
        <w:rPr>
          <w:sz w:val="24"/>
        </w:rPr>
        <w:t>provedba</w:t>
      </w:r>
      <w:r>
        <w:rPr>
          <w:spacing w:val="-3"/>
          <w:sz w:val="24"/>
        </w:rPr>
        <w:t> </w:t>
      </w:r>
      <w:r>
        <w:rPr>
          <w:sz w:val="24"/>
        </w:rPr>
        <w:t>projekta</w:t>
      </w:r>
      <w:r>
        <w:rPr>
          <w:spacing w:val="-5"/>
          <w:sz w:val="24"/>
        </w:rPr>
        <w:t> </w:t>
      </w:r>
      <w:r>
        <w:rPr>
          <w:sz w:val="24"/>
        </w:rPr>
        <w:t>CEKOM.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</w:tabs>
        <w:spacing w:line="285" w:lineRule="auto" w:before="12" w:after="0"/>
        <w:ind w:left="1186" w:right="114" w:hanging="360"/>
        <w:jc w:val="both"/>
        <w:rPr>
          <w:sz w:val="24"/>
        </w:rPr>
      </w:pPr>
      <w:r>
        <w:rPr>
          <w:sz w:val="24"/>
        </w:rPr>
        <w:t>Dostavu</w:t>
      </w:r>
      <w:r>
        <w:rPr>
          <w:spacing w:val="1"/>
          <w:sz w:val="24"/>
        </w:rPr>
        <w:t> </w:t>
      </w:r>
      <w:r>
        <w:rPr>
          <w:sz w:val="24"/>
        </w:rPr>
        <w:t>mogućih</w:t>
      </w:r>
      <w:r>
        <w:rPr>
          <w:spacing w:val="1"/>
          <w:sz w:val="24"/>
        </w:rPr>
        <w:t> </w:t>
      </w:r>
      <w:r>
        <w:rPr>
          <w:sz w:val="24"/>
        </w:rPr>
        <w:t>pojašnjenja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dodatne</w:t>
      </w:r>
      <w:r>
        <w:rPr>
          <w:spacing w:val="1"/>
          <w:sz w:val="24"/>
        </w:rPr>
        <w:t> </w:t>
      </w:r>
      <w:r>
        <w:rPr>
          <w:sz w:val="24"/>
        </w:rPr>
        <w:t>dokumentacije</w:t>
      </w:r>
      <w:r>
        <w:rPr>
          <w:spacing w:val="1"/>
          <w:sz w:val="24"/>
        </w:rPr>
        <w:t> </w:t>
      </w:r>
      <w:r>
        <w:rPr>
          <w:sz w:val="24"/>
        </w:rPr>
        <w:t>za</w:t>
      </w:r>
      <w:r>
        <w:rPr>
          <w:spacing w:val="1"/>
          <w:sz w:val="24"/>
        </w:rPr>
        <w:t> </w:t>
      </w:r>
      <w:r>
        <w:rPr>
          <w:sz w:val="24"/>
        </w:rPr>
        <w:t>potrebe</w:t>
      </w:r>
      <w:r>
        <w:rPr>
          <w:spacing w:val="1"/>
          <w:sz w:val="24"/>
        </w:rPr>
        <w:t> </w:t>
      </w:r>
      <w:r>
        <w:rPr>
          <w:sz w:val="24"/>
        </w:rPr>
        <w:t>evaluacije</w:t>
      </w:r>
      <w:r>
        <w:rPr>
          <w:spacing w:val="1"/>
          <w:sz w:val="24"/>
        </w:rPr>
        <w:t> </w:t>
      </w:r>
      <w:r>
        <w:rPr>
          <w:sz w:val="24"/>
        </w:rPr>
        <w:t>projekta.</w:t>
      </w:r>
    </w:p>
    <w:p>
      <w:pPr>
        <w:pStyle w:val="BodyText"/>
        <w:spacing w:before="18"/>
        <w:ind w:left="118" w:right="109"/>
        <w:jc w:val="both"/>
      </w:pPr>
      <w:r>
        <w:rPr/>
        <w:t>Društvo</w:t>
      </w:r>
      <w:r>
        <w:rPr>
          <w:spacing w:val="1"/>
        </w:rPr>
        <w:t> </w:t>
      </w:r>
      <w:r>
        <w:rPr/>
        <w:t>ima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zaposlena,</w:t>
      </w:r>
      <w:r>
        <w:rPr>
          <w:spacing w:val="1"/>
        </w:rPr>
        <w:t> </w:t>
      </w:r>
      <w:r>
        <w:rPr/>
        <w:t>projektni</w:t>
      </w:r>
      <w:r>
        <w:rPr>
          <w:spacing w:val="1"/>
        </w:rPr>
        <w:t> </w:t>
      </w:r>
      <w:r>
        <w:rPr/>
        <w:t>tim</w:t>
      </w:r>
      <w:r>
        <w:rPr>
          <w:spacing w:val="1"/>
        </w:rPr>
        <w:t> </w:t>
      </w:r>
      <w:r>
        <w:rPr/>
        <w:t>koji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sastoji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projekt</w:t>
      </w:r>
      <w:r>
        <w:rPr>
          <w:spacing w:val="1"/>
        </w:rPr>
        <w:t> </w:t>
      </w:r>
      <w:r>
        <w:rPr/>
        <w:t>menadžera,</w:t>
      </w:r>
      <w:r>
        <w:rPr>
          <w:spacing w:val="1"/>
        </w:rPr>
        <w:t> </w:t>
      </w:r>
      <w:r>
        <w:rPr/>
        <w:t>marketing</w:t>
      </w:r>
      <w:r>
        <w:rPr>
          <w:spacing w:val="-57"/>
        </w:rPr>
        <w:t> </w:t>
      </w:r>
      <w:r>
        <w:rPr/>
        <w:t>menadžera</w:t>
      </w:r>
      <w:r>
        <w:rPr>
          <w:spacing w:val="-4"/>
        </w:rPr>
        <w:t> </w:t>
      </w:r>
      <w:r>
        <w:rPr/>
        <w:t>i</w:t>
      </w:r>
      <w:r>
        <w:rPr>
          <w:spacing w:val="2"/>
        </w:rPr>
        <w:t> </w:t>
      </w:r>
      <w:r>
        <w:rPr/>
        <w:t>projektnog administratora.</w:t>
      </w:r>
    </w:p>
    <w:p>
      <w:pPr>
        <w:pStyle w:val="BodyText"/>
      </w:pPr>
    </w:p>
    <w:p>
      <w:pPr>
        <w:pStyle w:val="BodyText"/>
        <w:ind w:left="118" w:right="102"/>
        <w:jc w:val="both"/>
      </w:pPr>
      <w:r>
        <w:rPr/>
        <w:t>U 2021. godini plan je izgraditi poslovnu građevinu, nabaviti i instalirati tehnološku opremu</w:t>
      </w:r>
      <w:r>
        <w:rPr>
          <w:spacing w:val="1"/>
        </w:rPr>
        <w:t> </w:t>
      </w:r>
      <w:r>
        <w:rPr/>
        <w:t>(Laboratorij za 3D tehnologije, za visoku brzinsku obradu, automatizaciju i robotiku i za</w:t>
      </w:r>
      <w:r>
        <w:rPr>
          <w:spacing w:val="1"/>
        </w:rPr>
        <w:t> </w:t>
      </w:r>
      <w:r>
        <w:rPr/>
        <w:t>toplinsku obradu), ICT i opremiti objekt namještajem. Također je plan uspostava razvojno</w:t>
      </w:r>
      <w:r>
        <w:rPr>
          <w:spacing w:val="1"/>
        </w:rPr>
        <w:t> </w:t>
      </w:r>
      <w:r>
        <w:rPr/>
        <w:t>istraživačke suradnje između poslovnog sektora, R&amp;D institucija i sveučilišta na regionalnoj i</w:t>
      </w:r>
      <w:r>
        <w:rPr>
          <w:spacing w:val="1"/>
        </w:rPr>
        <w:t> </w:t>
      </w:r>
      <w:r>
        <w:rPr/>
        <w:t>međunarodnoj razini. Početak realizacije 7 kolaborativnih razvojno istraživačkih projekata i</w:t>
      </w:r>
      <w:r>
        <w:rPr>
          <w:spacing w:val="1"/>
        </w:rPr>
        <w:t> </w:t>
      </w:r>
      <w:r>
        <w:rPr/>
        <w:t>unaprijediti</w:t>
      </w:r>
      <w:r>
        <w:rPr>
          <w:spacing w:val="1"/>
        </w:rPr>
        <w:t> </w:t>
      </w:r>
      <w:r>
        <w:rPr/>
        <w:t>znanja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povećanu</w:t>
      </w:r>
      <w:r>
        <w:rPr>
          <w:spacing w:val="1"/>
        </w:rPr>
        <w:t> </w:t>
      </w:r>
      <w:r>
        <w:rPr/>
        <w:t>svijest</w:t>
      </w:r>
      <w:r>
        <w:rPr>
          <w:spacing w:val="1"/>
        </w:rPr>
        <w:t> </w:t>
      </w:r>
      <w:r>
        <w:rPr/>
        <w:t>MSP-a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građana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prednostima</w:t>
      </w:r>
      <w:r>
        <w:rPr>
          <w:spacing w:val="1"/>
        </w:rPr>
        <w:t> </w:t>
      </w:r>
      <w:r>
        <w:rPr/>
        <w:t>usvajanja</w:t>
      </w:r>
      <w:r>
        <w:rPr>
          <w:spacing w:val="1"/>
        </w:rPr>
        <w:t> </w:t>
      </w:r>
      <w:r>
        <w:rPr/>
        <w:t>mjera</w:t>
      </w:r>
      <w:r>
        <w:rPr>
          <w:spacing w:val="1"/>
        </w:rPr>
        <w:t> </w:t>
      </w:r>
      <w:r>
        <w:rPr/>
        <w:t>orijentiranih na ekološku i energetsku učinkovitost, te o uslugama i ponudi dostupnoj u sklopu</w:t>
      </w:r>
      <w:r>
        <w:rPr>
          <w:spacing w:val="-57"/>
        </w:rPr>
        <w:t> </w:t>
      </w:r>
      <w:r>
        <w:rPr/>
        <w:t>CEKOM-a.</w:t>
      </w:r>
    </w:p>
    <w:p>
      <w:pPr>
        <w:pStyle w:val="BodyText"/>
      </w:pPr>
    </w:p>
    <w:p>
      <w:pPr>
        <w:pStyle w:val="BodyText"/>
        <w:ind w:left="118" w:right="110"/>
        <w:jc w:val="both"/>
      </w:pPr>
      <w:r>
        <w:rPr/>
        <w:t>Promidžba i vidljivost kao element projekta koji traje kroz cjelokupno razdoblje provedbe</w:t>
      </w:r>
      <w:r>
        <w:rPr>
          <w:spacing w:val="1"/>
        </w:rPr>
        <w:t> </w:t>
      </w:r>
      <w:r>
        <w:rPr/>
        <w:t>projekta,</w:t>
      </w:r>
      <w:r>
        <w:rPr>
          <w:spacing w:val="-4"/>
        </w:rPr>
        <w:t> </w:t>
      </w:r>
      <w:r>
        <w:rPr/>
        <w:t>tako će</w:t>
      </w:r>
      <w:r>
        <w:rPr>
          <w:spacing w:val="-3"/>
        </w:rPr>
        <w:t> </w:t>
      </w:r>
      <w:r>
        <w:rPr/>
        <w:t>se i u 2021. godini</w:t>
      </w:r>
      <w:r>
        <w:rPr>
          <w:spacing w:val="2"/>
        </w:rPr>
        <w:t> </w:t>
      </w:r>
      <w:r>
        <w:rPr/>
        <w:t>odraditi</w:t>
      </w:r>
      <w:r>
        <w:rPr>
          <w:spacing w:val="2"/>
        </w:rPr>
        <w:t> </w:t>
      </w:r>
      <w:r>
        <w:rPr/>
        <w:t>značajan</w:t>
      </w:r>
      <w:r>
        <w:rPr>
          <w:spacing w:val="-3"/>
        </w:rPr>
        <w:t> </w:t>
      </w:r>
      <w:r>
        <w:rPr/>
        <w:t>dio</w:t>
      </w:r>
      <w:r>
        <w:rPr>
          <w:spacing w:val="2"/>
        </w:rPr>
        <w:t> </w:t>
      </w:r>
      <w:r>
        <w:rPr/>
        <w:t>ovog elementa</w:t>
      </w:r>
      <w:r>
        <w:rPr>
          <w:spacing w:val="-3"/>
        </w:rPr>
        <w:t> </w:t>
      </w:r>
      <w:r>
        <w:rPr/>
        <w:t>projekta.</w:t>
      </w:r>
    </w:p>
    <w:p>
      <w:pPr>
        <w:spacing w:after="0"/>
        <w:jc w:val="both"/>
        <w:sectPr>
          <w:pgSz w:w="11910" w:h="16840"/>
          <w:pgMar w:header="692" w:footer="772" w:top="1580" w:bottom="960" w:left="1300" w:right="1300"/>
        </w:sectPr>
      </w:pPr>
    </w:p>
    <w:p>
      <w:pPr>
        <w:pStyle w:val="BodyText"/>
        <w:spacing w:line="20" w:lineRule="exact"/>
        <w:ind w:left="-260"/>
        <w:rPr>
          <w:sz w:val="2"/>
        </w:rPr>
      </w:pPr>
      <w:r>
        <w:rPr>
          <w:sz w:val="2"/>
        </w:rPr>
        <w:pict>
          <v:group style="width:486pt;height:1.6pt;mso-position-horizontal-relative:char;mso-position-vertical-relative:line" id="docshapegroup3" coordorigin="0,0" coordsize="9720,32">
            <v:line style="position:absolute" from="0,16" to="9720,16" stroked="true" strokeweight="1.56pt" strokecolor="#5b9ad4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28" w:after="98"/>
        <w:ind w:left="100"/>
      </w:pPr>
      <w:r>
        <w:rPr/>
        <w:t>CENTAR</w:t>
      </w:r>
      <w:r>
        <w:rPr>
          <w:spacing w:val="-1"/>
        </w:rPr>
        <w:t> </w:t>
      </w:r>
      <w:r>
        <w:rPr/>
        <w:t>KOMPETENCIJA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NAPREDNO</w:t>
      </w:r>
      <w:r>
        <w:rPr>
          <w:spacing w:val="1"/>
        </w:rPr>
        <w:t> </w:t>
      </w:r>
      <w:r>
        <w:rPr/>
        <w:t>INŽENJERSTVO</w:t>
      </w:r>
      <w:r>
        <w:rPr>
          <w:spacing w:val="-1"/>
        </w:rPr>
        <w:t> </w:t>
      </w:r>
      <w:r>
        <w:rPr/>
        <w:t>NOVA</w:t>
      </w:r>
      <w:r>
        <w:rPr>
          <w:spacing w:val="-1"/>
        </w:rPr>
        <w:t> </w:t>
      </w:r>
      <w:r>
        <w:rPr/>
        <w:t>GRADIŠKA</w:t>
      </w:r>
      <w:r>
        <w:rPr>
          <w:spacing w:val="-1"/>
        </w:rPr>
        <w:t> </w:t>
      </w:r>
      <w:r>
        <w:rPr/>
        <w:t>d.o.o.</w:t>
      </w:r>
    </w:p>
    <w:p>
      <w:pPr>
        <w:pStyle w:val="BodyText"/>
        <w:spacing w:line="20" w:lineRule="exact"/>
        <w:ind w:left="-260"/>
        <w:rPr>
          <w:sz w:val="2"/>
        </w:rPr>
      </w:pPr>
      <w:r>
        <w:rPr>
          <w:sz w:val="2"/>
        </w:rPr>
        <w:pict>
          <v:group style="width:487.6pt;height:1.7pt;mso-position-horizontal-relative:char;mso-position-vertical-relative:line" id="docshapegroup4" coordorigin="0,0" coordsize="9752,34">
            <v:line style="position:absolute" from="16,16" to="9736,18" stroked="true" strokeweight="1.56pt" strokecolor="#5b9ad4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6"/>
        </w:rPr>
      </w:pPr>
    </w:p>
    <w:p>
      <w:pPr>
        <w:pStyle w:val="BodyText"/>
        <w:spacing w:before="172"/>
        <w:ind w:left="100"/>
      </w:pPr>
      <w:r>
        <w:rPr/>
        <w:t>FINANCIJSKI</w:t>
      </w:r>
      <w:r>
        <w:rPr>
          <w:spacing w:val="-6"/>
        </w:rPr>
        <w:t> </w:t>
      </w:r>
      <w:r>
        <w:rPr/>
        <w:t>PLAN</w:t>
      </w:r>
      <w:r>
        <w:rPr>
          <w:spacing w:val="-1"/>
        </w:rPr>
        <w:t> </w:t>
      </w:r>
      <w:r>
        <w:rPr/>
        <w:t>DRUŠTVA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2021. GODINU</w:t>
      </w:r>
    </w:p>
    <w:p>
      <w:pPr>
        <w:pStyle w:val="BodyText"/>
      </w:pPr>
    </w:p>
    <w:p>
      <w:pPr>
        <w:pStyle w:val="BodyText"/>
        <w:ind w:left="100"/>
      </w:pPr>
      <w:r>
        <w:rPr/>
        <w:t>Tablica</w:t>
      </w:r>
      <w:r>
        <w:rPr>
          <w:spacing w:val="-4"/>
        </w:rPr>
        <w:t> </w:t>
      </w:r>
      <w:r>
        <w:rPr/>
        <w:t>1.:</w:t>
      </w:r>
      <w:r>
        <w:rPr>
          <w:spacing w:val="-1"/>
        </w:rPr>
        <w:t> </w:t>
      </w:r>
      <w:r>
        <w:rPr/>
        <w:t>Projekcija poslovnih</w:t>
      </w:r>
      <w:r>
        <w:rPr>
          <w:spacing w:val="1"/>
        </w:rPr>
        <w:t> </w:t>
      </w:r>
      <w:r>
        <w:rPr/>
        <w:t>prihoda CEKOM</w:t>
      </w:r>
      <w:r>
        <w:rPr>
          <w:spacing w:val="-1"/>
        </w:rPr>
        <w:t> </w:t>
      </w:r>
      <w:r>
        <w:rPr/>
        <w:t>u 2021.godini</w:t>
      </w:r>
    </w:p>
    <w:p>
      <w:pPr>
        <w:pStyle w:val="BodyText"/>
        <w:spacing w:before="7"/>
        <w:rPr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"/>
        <w:gridCol w:w="1711"/>
        <w:gridCol w:w="1015"/>
        <w:gridCol w:w="1015"/>
        <w:gridCol w:w="1017"/>
        <w:gridCol w:w="928"/>
        <w:gridCol w:w="923"/>
        <w:gridCol w:w="1017"/>
        <w:gridCol w:w="928"/>
        <w:gridCol w:w="928"/>
        <w:gridCol w:w="1012"/>
        <w:gridCol w:w="928"/>
        <w:gridCol w:w="926"/>
        <w:gridCol w:w="1015"/>
        <w:gridCol w:w="1149"/>
      </w:tblGrid>
      <w:tr>
        <w:trPr>
          <w:trHeight w:val="256" w:hRule="atLeast"/>
        </w:trPr>
        <w:tc>
          <w:tcPr>
            <w:tcW w:w="482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2"/>
              <w:ind w:left="113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sij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2"/>
              <w:ind w:left="1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velj</w:t>
            </w: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spacing w:before="32"/>
              <w:ind w:left="116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ožu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2"/>
              <w:ind w:left="11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tra</w:t>
            </w:r>
          </w:p>
        </w:tc>
        <w:tc>
          <w:tcPr>
            <w:tcW w:w="923" w:type="dxa"/>
            <w:shd w:val="clear" w:color="auto" w:fill="BFBFBF"/>
          </w:tcPr>
          <w:p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svi</w:t>
            </w: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spacing w:line="180" w:lineRule="exact"/>
              <w:ind w:left="120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lip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line="180" w:lineRule="exact"/>
              <w:ind w:left="121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srp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line="180" w:lineRule="exact"/>
              <w:ind w:left="12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kol</w:t>
            </w:r>
          </w:p>
        </w:tc>
        <w:tc>
          <w:tcPr>
            <w:tcW w:w="1012" w:type="dxa"/>
            <w:shd w:val="clear" w:color="auto" w:fill="BFBFBF"/>
          </w:tcPr>
          <w:p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ruj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2"/>
              <w:ind w:left="123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lis</w:t>
            </w:r>
          </w:p>
        </w:tc>
        <w:tc>
          <w:tcPr>
            <w:tcW w:w="926" w:type="dxa"/>
            <w:shd w:val="clear" w:color="auto" w:fill="BFBFBF"/>
          </w:tcPr>
          <w:p>
            <w:pPr>
              <w:pStyle w:val="TableParagraph"/>
              <w:spacing w:before="32"/>
              <w:ind w:left="12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stu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2"/>
              <w:ind w:left="1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pro</w:t>
            </w:r>
          </w:p>
        </w:tc>
        <w:tc>
          <w:tcPr>
            <w:tcW w:w="1149" w:type="dxa"/>
            <w:shd w:val="clear" w:color="auto" w:fill="BFBFBF"/>
          </w:tcPr>
          <w:p>
            <w:pPr>
              <w:pStyle w:val="TableParagraph"/>
              <w:spacing w:before="32"/>
              <w:ind w:left="30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</w:t>
            </w:r>
          </w:p>
        </w:tc>
      </w:tr>
      <w:tr>
        <w:trPr>
          <w:trHeight w:val="253" w:hRule="atLeast"/>
        </w:trPr>
        <w:tc>
          <w:tcPr>
            <w:tcW w:w="2193" w:type="dxa"/>
            <w:gridSpan w:val="2"/>
          </w:tcPr>
          <w:p>
            <w:pPr>
              <w:pStyle w:val="TableParagraph"/>
              <w:spacing w:before="2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CEKOM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482" w:type="dxa"/>
            <w:shd w:val="clear" w:color="auto" w:fill="BFBFBF"/>
          </w:tcPr>
          <w:p>
            <w:pPr>
              <w:pStyle w:val="TableParagraph"/>
              <w:spacing w:before="34"/>
              <w:ind w:left="112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711" w:type="dxa"/>
            <w:shd w:val="clear" w:color="auto" w:fill="BFBFBF"/>
          </w:tcPr>
          <w:p>
            <w:pPr>
              <w:pStyle w:val="TableParagraph"/>
              <w:spacing w:before="32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Prihodi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usluga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spacing w:before="3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4"/>
              <w:ind w:left="5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3" w:type="dxa"/>
            <w:shd w:val="clear" w:color="auto" w:fill="BFBFBF"/>
          </w:tcPr>
          <w:p>
            <w:pPr>
              <w:pStyle w:val="TableParagraph"/>
              <w:spacing w:before="34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spacing w:before="3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4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2" w:type="dxa"/>
            <w:shd w:val="clear" w:color="auto" w:fill="BFBFBF"/>
          </w:tcPr>
          <w:p>
            <w:pPr>
              <w:pStyle w:val="TableParagraph"/>
              <w:spacing w:before="3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6" w:type="dxa"/>
            <w:shd w:val="clear" w:color="auto" w:fill="BFBFBF"/>
          </w:tcPr>
          <w:p>
            <w:pPr>
              <w:pStyle w:val="TableParagraph"/>
              <w:spacing w:before="3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9" w:type="dxa"/>
            <w:shd w:val="clear" w:color="auto" w:fill="BFBFBF"/>
          </w:tcPr>
          <w:p>
            <w:pPr>
              <w:pStyle w:val="TableParagraph"/>
              <w:spacing w:before="3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482" w:type="dxa"/>
            <w:shd w:val="clear" w:color="auto" w:fill="BFBFBF"/>
          </w:tcPr>
          <w:p>
            <w:pPr>
              <w:pStyle w:val="TableParagraph"/>
              <w:spacing w:before="29"/>
              <w:ind w:left="112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711" w:type="dxa"/>
            <w:shd w:val="clear" w:color="auto" w:fill="BFBFBF"/>
          </w:tcPr>
          <w:p>
            <w:pPr>
              <w:pStyle w:val="TableParagraph"/>
              <w:spacing w:before="2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Dotacije/subvencije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482" w:type="dxa"/>
          </w:tcPr>
          <w:p>
            <w:pPr>
              <w:pStyle w:val="TableParagraph"/>
              <w:spacing w:before="34"/>
              <w:ind w:left="112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1711" w:type="dxa"/>
          </w:tcPr>
          <w:p>
            <w:pPr>
              <w:pStyle w:val="TableParagraph"/>
              <w:spacing w:before="34"/>
              <w:ind w:left="112"/>
              <w:rPr>
                <w:sz w:val="16"/>
              </w:rPr>
            </w:pPr>
            <w:r>
              <w:rPr>
                <w:sz w:val="16"/>
              </w:rPr>
              <w:t>Grad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Nova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Gradiška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107.843,51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107.843,51</w:t>
            </w:r>
          </w:p>
        </w:tc>
        <w:tc>
          <w:tcPr>
            <w:tcW w:w="1017" w:type="dxa"/>
          </w:tcPr>
          <w:p>
            <w:pPr>
              <w:pStyle w:val="TableParagraph"/>
              <w:spacing w:before="34"/>
              <w:ind w:left="116"/>
              <w:rPr>
                <w:sz w:val="16"/>
              </w:rPr>
            </w:pPr>
            <w:r>
              <w:rPr>
                <w:sz w:val="16"/>
              </w:rPr>
              <w:t>107.843,51</w:t>
            </w:r>
          </w:p>
        </w:tc>
        <w:tc>
          <w:tcPr>
            <w:tcW w:w="928" w:type="dxa"/>
          </w:tcPr>
          <w:p>
            <w:pPr>
              <w:pStyle w:val="TableParagraph"/>
              <w:spacing w:before="34"/>
              <w:ind w:left="114"/>
              <w:rPr>
                <w:sz w:val="16"/>
              </w:rPr>
            </w:pPr>
            <w:r>
              <w:rPr>
                <w:sz w:val="16"/>
              </w:rPr>
              <w:t>46.654,06</w:t>
            </w:r>
          </w:p>
        </w:tc>
        <w:tc>
          <w:tcPr>
            <w:tcW w:w="923" w:type="dxa"/>
          </w:tcPr>
          <w:p>
            <w:pPr>
              <w:pStyle w:val="TableParagraph"/>
              <w:spacing w:before="34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17" w:type="dxa"/>
          </w:tcPr>
          <w:p>
            <w:pPr>
              <w:pStyle w:val="TableParagraph"/>
              <w:spacing w:before="34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34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34"/>
              <w:ind w:left="122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12" w:type="dxa"/>
          </w:tcPr>
          <w:p>
            <w:pPr>
              <w:pStyle w:val="TableParagraph"/>
              <w:spacing w:before="3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3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26" w:type="dxa"/>
          </w:tcPr>
          <w:p>
            <w:pPr>
              <w:pStyle w:val="TableParagraph"/>
              <w:spacing w:before="34"/>
              <w:ind w:left="126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49" w:type="dxa"/>
          </w:tcPr>
          <w:p>
            <w:pPr>
              <w:pStyle w:val="TableParagraph"/>
              <w:spacing w:before="3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610.184,59</w:t>
            </w:r>
          </w:p>
        </w:tc>
      </w:tr>
      <w:tr>
        <w:trPr>
          <w:trHeight w:val="254" w:hRule="atLeast"/>
        </w:trPr>
        <w:tc>
          <w:tcPr>
            <w:tcW w:w="482" w:type="dxa"/>
          </w:tcPr>
          <w:p>
            <w:pPr>
              <w:pStyle w:val="TableParagraph"/>
              <w:spacing w:before="29"/>
              <w:ind w:left="112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1711" w:type="dxa"/>
          </w:tcPr>
          <w:p>
            <w:pPr>
              <w:pStyle w:val="TableParagraph"/>
              <w:spacing w:before="29"/>
              <w:ind w:left="112"/>
              <w:rPr>
                <w:sz w:val="16"/>
              </w:rPr>
            </w:pPr>
            <w:r>
              <w:rPr>
                <w:sz w:val="16"/>
              </w:rPr>
              <w:t>MRRFEU</w:t>
            </w:r>
          </w:p>
        </w:tc>
        <w:tc>
          <w:tcPr>
            <w:tcW w:w="1015" w:type="dxa"/>
          </w:tcPr>
          <w:p>
            <w:pPr>
              <w:pStyle w:val="TableParagraph"/>
              <w:spacing w:before="2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29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</w:tcPr>
          <w:p>
            <w:pPr>
              <w:pStyle w:val="TableParagraph"/>
              <w:spacing w:before="29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left="114"/>
              <w:rPr>
                <w:sz w:val="16"/>
              </w:rPr>
            </w:pPr>
            <w:r>
              <w:rPr>
                <w:sz w:val="16"/>
              </w:rPr>
              <w:t>44.916,98</w:t>
            </w:r>
          </w:p>
        </w:tc>
        <w:tc>
          <w:tcPr>
            <w:tcW w:w="923" w:type="dxa"/>
          </w:tcPr>
          <w:p>
            <w:pPr>
              <w:pStyle w:val="TableParagraph"/>
              <w:spacing w:before="2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7" w:type="dxa"/>
          </w:tcPr>
          <w:p>
            <w:pPr>
              <w:pStyle w:val="TableParagraph"/>
              <w:spacing w:before="29"/>
              <w:ind w:left="121"/>
              <w:rPr>
                <w:sz w:val="16"/>
              </w:rPr>
            </w:pPr>
            <w:r>
              <w:rPr>
                <w:sz w:val="16"/>
              </w:rPr>
              <w:t>138.000,00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2" w:type="dxa"/>
          </w:tcPr>
          <w:p>
            <w:pPr>
              <w:pStyle w:val="TableParagraph"/>
              <w:spacing w:before="29"/>
              <w:ind w:left="119"/>
              <w:rPr>
                <w:sz w:val="16"/>
              </w:rPr>
            </w:pPr>
            <w:r>
              <w:rPr>
                <w:sz w:val="16"/>
              </w:rPr>
              <w:t>152.000,00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26" w:type="dxa"/>
          </w:tcPr>
          <w:p>
            <w:pPr>
              <w:pStyle w:val="TableParagraph"/>
              <w:spacing w:before="2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29"/>
              <w:ind w:left="129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149" w:type="dxa"/>
          </w:tcPr>
          <w:p>
            <w:pPr>
              <w:pStyle w:val="TableParagraph"/>
              <w:spacing w:before="2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514.916,98</w:t>
            </w:r>
          </w:p>
        </w:tc>
      </w:tr>
      <w:tr>
        <w:trPr>
          <w:trHeight w:val="253" w:hRule="atLeast"/>
        </w:trPr>
        <w:tc>
          <w:tcPr>
            <w:tcW w:w="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2193" w:type="dxa"/>
            <w:gridSpan w:val="2"/>
            <w:shd w:val="clear" w:color="auto" w:fill="BFBFBF"/>
          </w:tcPr>
          <w:p>
            <w:pPr>
              <w:pStyle w:val="TableParagraph"/>
              <w:spacing w:before="34"/>
              <w:ind w:left="731" w:right="7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107.843,51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7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107.843,51</w:t>
            </w: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spacing w:before="37"/>
              <w:ind w:left="116"/>
              <w:rPr>
                <w:sz w:val="16"/>
              </w:rPr>
            </w:pPr>
            <w:r>
              <w:rPr>
                <w:sz w:val="16"/>
              </w:rPr>
              <w:t>107.843,51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7"/>
              <w:ind w:left="114"/>
              <w:rPr>
                <w:sz w:val="16"/>
              </w:rPr>
            </w:pPr>
            <w:r>
              <w:rPr>
                <w:sz w:val="16"/>
              </w:rPr>
              <w:t>91.571,04</w:t>
            </w:r>
          </w:p>
        </w:tc>
        <w:tc>
          <w:tcPr>
            <w:tcW w:w="923" w:type="dxa"/>
            <w:shd w:val="clear" w:color="auto" w:fill="BFBFBF"/>
          </w:tcPr>
          <w:p>
            <w:pPr>
              <w:pStyle w:val="TableParagraph"/>
              <w:spacing w:before="37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17" w:type="dxa"/>
            <w:shd w:val="clear" w:color="auto" w:fill="BFBFBF"/>
          </w:tcPr>
          <w:p>
            <w:pPr>
              <w:pStyle w:val="TableParagraph"/>
              <w:spacing w:before="37"/>
              <w:ind w:left="120"/>
              <w:rPr>
                <w:sz w:val="16"/>
              </w:rPr>
            </w:pPr>
            <w:r>
              <w:rPr>
                <w:sz w:val="16"/>
              </w:rPr>
              <w:t>168.000,00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7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7"/>
              <w:ind w:left="122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12" w:type="dxa"/>
            <w:shd w:val="clear" w:color="auto" w:fill="BFBFBF"/>
          </w:tcPr>
          <w:p>
            <w:pPr>
              <w:pStyle w:val="TableParagraph"/>
              <w:spacing w:before="37"/>
              <w:ind w:left="120"/>
              <w:rPr>
                <w:sz w:val="16"/>
              </w:rPr>
            </w:pPr>
            <w:r>
              <w:rPr>
                <w:sz w:val="16"/>
              </w:rPr>
              <w:t>182.000,00</w:t>
            </w:r>
          </w:p>
        </w:tc>
        <w:tc>
          <w:tcPr>
            <w:tcW w:w="928" w:type="dxa"/>
            <w:shd w:val="clear" w:color="auto" w:fill="BFBFBF"/>
          </w:tcPr>
          <w:p>
            <w:pPr>
              <w:pStyle w:val="TableParagraph"/>
              <w:spacing w:before="37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26" w:type="dxa"/>
            <w:shd w:val="clear" w:color="auto" w:fill="BFBFBF"/>
          </w:tcPr>
          <w:p>
            <w:pPr>
              <w:pStyle w:val="TableParagraph"/>
              <w:spacing w:before="37"/>
              <w:ind w:left="127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15" w:type="dxa"/>
            <w:shd w:val="clear" w:color="auto" w:fill="BFBFBF"/>
          </w:tcPr>
          <w:p>
            <w:pPr>
              <w:pStyle w:val="TableParagraph"/>
              <w:spacing w:before="37"/>
              <w:ind w:left="129"/>
              <w:rPr>
                <w:sz w:val="16"/>
              </w:rPr>
            </w:pPr>
            <w:r>
              <w:rPr>
                <w:sz w:val="16"/>
              </w:rPr>
              <w:t>210.000,00</w:t>
            </w:r>
          </w:p>
        </w:tc>
        <w:tc>
          <w:tcPr>
            <w:tcW w:w="1149" w:type="dxa"/>
            <w:shd w:val="clear" w:color="auto" w:fill="BFBFBF"/>
          </w:tcPr>
          <w:p>
            <w:pPr>
              <w:pStyle w:val="TableParagraph"/>
              <w:spacing w:before="3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1.125.101,57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1"/>
        <w:ind w:left="100"/>
      </w:pPr>
      <w:r>
        <w:rPr/>
        <w:t>Tablica</w:t>
      </w:r>
      <w:r>
        <w:rPr>
          <w:spacing w:val="-4"/>
        </w:rPr>
        <w:t> </w:t>
      </w:r>
      <w:r>
        <w:rPr/>
        <w:t>2.: Planirani troškovi poslovanja CEKOM</w:t>
      </w:r>
      <w:r>
        <w:rPr>
          <w:spacing w:val="-3"/>
        </w:rPr>
        <w:t> </w:t>
      </w:r>
      <w:r>
        <w:rPr/>
        <w:t>u 2021.godini</w:t>
      </w: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2052"/>
        <w:gridCol w:w="936"/>
        <w:gridCol w:w="907"/>
        <w:gridCol w:w="905"/>
        <w:gridCol w:w="936"/>
        <w:gridCol w:w="905"/>
        <w:gridCol w:w="907"/>
        <w:gridCol w:w="936"/>
        <w:gridCol w:w="905"/>
        <w:gridCol w:w="907"/>
        <w:gridCol w:w="905"/>
        <w:gridCol w:w="936"/>
        <w:gridCol w:w="936"/>
        <w:gridCol w:w="1267"/>
      </w:tblGrid>
      <w:tr>
        <w:trPr>
          <w:trHeight w:val="256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0" w:lineRule="exact"/>
              <w:ind w:left="323" w:right="297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sij</w:t>
            </w:r>
          </w:p>
        </w:tc>
        <w:tc>
          <w:tcPr>
            <w:tcW w:w="907" w:type="dxa"/>
            <w:shd w:val="clear" w:color="auto" w:fill="BFBFBF"/>
          </w:tcPr>
          <w:p>
            <w:pPr>
              <w:pStyle w:val="TableParagraph"/>
              <w:spacing w:line="180" w:lineRule="exact"/>
              <w:ind w:left="307" w:right="283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velj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line="180" w:lineRule="exact"/>
              <w:ind w:left="31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ožu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0" w:lineRule="exact"/>
              <w:ind w:left="321" w:right="30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tra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line="180" w:lineRule="exact"/>
              <w:ind w:left="94" w:right="81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svi</w:t>
            </w:r>
          </w:p>
        </w:tc>
        <w:tc>
          <w:tcPr>
            <w:tcW w:w="907" w:type="dxa"/>
            <w:shd w:val="clear" w:color="auto" w:fill="BFBFBF"/>
          </w:tcPr>
          <w:p>
            <w:pPr>
              <w:pStyle w:val="TableParagraph"/>
              <w:spacing w:line="180" w:lineRule="exact"/>
              <w:ind w:left="307" w:right="281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lip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0" w:lineRule="exact"/>
              <w:ind w:left="323" w:right="30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srp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line="180" w:lineRule="exact"/>
              <w:ind w:left="94" w:right="71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kol</w:t>
            </w:r>
          </w:p>
        </w:tc>
        <w:tc>
          <w:tcPr>
            <w:tcW w:w="907" w:type="dxa"/>
            <w:shd w:val="clear" w:color="auto" w:fill="BFBFBF"/>
          </w:tcPr>
          <w:p>
            <w:pPr>
              <w:pStyle w:val="TableParagraph"/>
              <w:spacing w:before="32"/>
              <w:ind w:left="301" w:right="283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ruj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before="32"/>
              <w:ind w:left="94" w:right="6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lis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before="32"/>
              <w:ind w:left="319" w:right="30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stu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before="32"/>
              <w:ind w:left="323" w:right="304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pro</w:t>
            </w:r>
          </w:p>
        </w:tc>
        <w:tc>
          <w:tcPr>
            <w:tcW w:w="1267" w:type="dxa"/>
            <w:shd w:val="clear" w:color="auto" w:fill="BFBFBF"/>
          </w:tcPr>
          <w:p>
            <w:pPr>
              <w:pStyle w:val="TableParagraph"/>
              <w:spacing w:before="32"/>
              <w:ind w:left="93" w:right="73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</w:t>
            </w:r>
          </w:p>
        </w:tc>
      </w:tr>
      <w:tr>
        <w:trPr>
          <w:trHeight w:val="184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7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spacing w:line="180" w:lineRule="exact" w:before="51"/>
              <w:ind w:left="89" w:right="7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</w:t>
            </w: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spacing w:before="29"/>
              <w:ind w:left="112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troškovi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1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15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1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1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4" w:right="12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1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1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1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1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4" w:right="12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1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1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3.060,00</w:t>
            </w: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spacing w:line="183" w:lineRule="exact"/>
              <w:ind w:left="91" w:right="7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36.720,00</w:t>
            </w:r>
          </w:p>
        </w:tc>
      </w:tr>
      <w:tr>
        <w:trPr>
          <w:trHeight w:val="256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spacing w:line="183" w:lineRule="exact" w:before="51"/>
              <w:ind w:left="89" w:right="7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2.</w:t>
            </w: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spacing w:before="29"/>
              <w:ind w:left="112"/>
              <w:rPr>
                <w:sz w:val="16"/>
              </w:rPr>
            </w:pPr>
            <w:r>
              <w:rPr>
                <w:sz w:val="16"/>
              </w:rPr>
              <w:t>Troškovi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usluga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50.000,00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right="11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13.100,00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3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13.100,00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13.100,00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94" w:right="6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9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7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94" w:right="7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9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9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2.300,00</w:t>
            </w: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spacing w:line="181" w:lineRule="exact"/>
              <w:ind w:left="93" w:right="7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107.700,00</w:t>
            </w:r>
          </w:p>
        </w:tc>
      </w:tr>
      <w:tr>
        <w:trPr>
          <w:trHeight w:val="254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spacing w:line="183" w:lineRule="exact" w:before="53"/>
              <w:ind w:left="89" w:right="76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spacing w:before="34"/>
              <w:ind w:left="11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troškovi poslovanja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94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5.600,00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right="15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5.600,00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11.800,00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31.800,00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94" w:right="6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5.600,00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20.600,00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46.800,00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20.600,00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20.600,00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94" w:right="7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20.600,00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46.800,00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60.600,00</w:t>
            </w: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spacing w:line="183" w:lineRule="exact"/>
              <w:ind w:left="93" w:right="7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297.000,00</w:t>
            </w:r>
          </w:p>
        </w:tc>
      </w:tr>
      <w:tr>
        <w:trPr>
          <w:trHeight w:val="251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spacing w:line="183" w:lineRule="exact" w:before="53"/>
              <w:ind w:left="89" w:right="76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spacing w:before="34"/>
              <w:ind w:left="112"/>
              <w:rPr>
                <w:sz w:val="16"/>
              </w:rPr>
            </w:pPr>
            <w:r>
              <w:rPr>
                <w:sz w:val="16"/>
              </w:rPr>
              <w:t>Troškovi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osoblje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right="11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3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94" w:right="6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13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07" w:type="dxa"/>
          </w:tcPr>
          <w:p>
            <w:pPr>
              <w:pStyle w:val="TableParagraph"/>
              <w:spacing w:line="181" w:lineRule="exact"/>
              <w:ind w:left="13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05" w:type="dxa"/>
          </w:tcPr>
          <w:p>
            <w:pPr>
              <w:pStyle w:val="TableParagraph"/>
              <w:spacing w:line="181" w:lineRule="exact"/>
              <w:ind w:left="94" w:right="7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936" w:type="dxa"/>
          </w:tcPr>
          <w:p>
            <w:pPr>
              <w:pStyle w:val="TableParagraph"/>
              <w:spacing w:line="181" w:lineRule="exact"/>
              <w:ind w:left="15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52.843,51</w:t>
            </w: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spacing w:line="183" w:lineRule="exact"/>
              <w:ind w:left="93" w:right="72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634.122,12</w:t>
            </w:r>
          </w:p>
        </w:tc>
      </w:tr>
      <w:tr>
        <w:trPr>
          <w:trHeight w:val="254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350" w:type="dxa"/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shd w:val="clear" w:color="auto" w:fill="BDBDBD"/>
          </w:tcPr>
          <w:p>
            <w:pPr>
              <w:pStyle w:val="TableParagraph"/>
              <w:spacing w:before="32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3" w:lineRule="exact"/>
              <w:ind w:left="11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111.503,51</w:t>
            </w:r>
          </w:p>
        </w:tc>
        <w:tc>
          <w:tcPr>
            <w:tcW w:w="907" w:type="dxa"/>
            <w:shd w:val="clear" w:color="auto" w:fill="BFBFBF"/>
          </w:tcPr>
          <w:p>
            <w:pPr>
              <w:pStyle w:val="TableParagraph"/>
              <w:spacing w:line="183" w:lineRule="exact"/>
              <w:ind w:right="114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74.603,51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line="183" w:lineRule="exact"/>
              <w:ind w:left="13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80.803,51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3" w:lineRule="exact"/>
              <w:ind w:left="11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100.803,51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line="183" w:lineRule="exact"/>
              <w:ind w:left="94" w:right="64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63.803,51</w:t>
            </w:r>
          </w:p>
        </w:tc>
        <w:tc>
          <w:tcPr>
            <w:tcW w:w="907" w:type="dxa"/>
            <w:shd w:val="clear" w:color="auto" w:fill="BFBFBF"/>
          </w:tcPr>
          <w:p>
            <w:pPr>
              <w:pStyle w:val="TableParagraph"/>
              <w:spacing w:line="183" w:lineRule="exact"/>
              <w:ind w:left="13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78.803,51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3" w:lineRule="exact"/>
              <w:ind w:left="11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105.003,51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line="183" w:lineRule="exact"/>
              <w:ind w:left="11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78.803,51</w:t>
            </w:r>
          </w:p>
        </w:tc>
        <w:tc>
          <w:tcPr>
            <w:tcW w:w="907" w:type="dxa"/>
            <w:shd w:val="clear" w:color="auto" w:fill="BFBFBF"/>
          </w:tcPr>
          <w:p>
            <w:pPr>
              <w:pStyle w:val="TableParagraph"/>
              <w:spacing w:line="183" w:lineRule="exact"/>
              <w:ind w:left="11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78.803,51</w:t>
            </w:r>
          </w:p>
        </w:tc>
        <w:tc>
          <w:tcPr>
            <w:tcW w:w="905" w:type="dxa"/>
            <w:shd w:val="clear" w:color="auto" w:fill="BFBFBF"/>
          </w:tcPr>
          <w:p>
            <w:pPr>
              <w:pStyle w:val="TableParagraph"/>
              <w:spacing w:line="183" w:lineRule="exact"/>
              <w:ind w:left="94" w:right="119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78.803,51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3" w:lineRule="exact"/>
              <w:ind w:left="11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105.003,51</w:t>
            </w:r>
          </w:p>
        </w:tc>
        <w:tc>
          <w:tcPr>
            <w:tcW w:w="936" w:type="dxa"/>
            <w:shd w:val="clear" w:color="auto" w:fill="BFBFBF"/>
          </w:tcPr>
          <w:p>
            <w:pPr>
              <w:pStyle w:val="TableParagraph"/>
              <w:spacing w:line="183" w:lineRule="exact"/>
              <w:ind w:left="11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118.803,51</w:t>
            </w:r>
          </w:p>
        </w:tc>
        <w:tc>
          <w:tcPr>
            <w:tcW w:w="1267" w:type="dxa"/>
            <w:shd w:val="clear" w:color="auto" w:fill="BDBDBD"/>
          </w:tcPr>
          <w:p>
            <w:pPr>
              <w:pStyle w:val="TableParagraph"/>
              <w:spacing w:line="228" w:lineRule="exact"/>
              <w:ind w:left="93" w:right="7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1.075.542,12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2"/>
        </w:rPr>
      </w:pPr>
    </w:p>
    <w:p>
      <w:pPr>
        <w:pStyle w:val="BodyText"/>
        <w:ind w:right="416"/>
        <w:jc w:val="right"/>
      </w:pPr>
      <w:r>
        <w:rPr/>
        <w:t>4</w:t>
      </w:r>
    </w:p>
    <w:p>
      <w:pPr>
        <w:spacing w:after="0"/>
        <w:jc w:val="right"/>
        <w:sectPr>
          <w:headerReference w:type="default" r:id="rId7"/>
          <w:footerReference w:type="default" r:id="rId8"/>
          <w:pgSz w:w="16840" w:h="11910" w:orient="landscape"/>
          <w:pgMar w:header="0" w:footer="0" w:top="660" w:bottom="280" w:left="620" w:right="1000"/>
        </w:sectPr>
      </w:pPr>
    </w:p>
    <w:p>
      <w:pPr>
        <w:pStyle w:val="BodyText"/>
        <w:spacing w:before="6"/>
        <w:rPr>
          <w:sz w:val="28"/>
        </w:rPr>
      </w:pPr>
    </w:p>
    <w:p>
      <w:pPr>
        <w:spacing w:before="93"/>
        <w:ind w:left="118" w:right="0" w:firstLine="0"/>
        <w:jc w:val="left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color w:val="000080"/>
          <w:sz w:val="22"/>
        </w:rPr>
        <w:t>PROJICIRANI</w:t>
      </w:r>
      <w:r>
        <w:rPr>
          <w:rFonts w:ascii="Arial" w:hAnsi="Arial"/>
          <w:b/>
          <w:i/>
          <w:color w:val="000080"/>
          <w:spacing w:val="-1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RAČUN DOBITI I</w:t>
      </w:r>
      <w:r>
        <w:rPr>
          <w:rFonts w:ascii="Arial" w:hAnsi="Arial"/>
          <w:b/>
          <w:i/>
          <w:color w:val="000080"/>
          <w:spacing w:val="-2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GUBITKA ZA</w:t>
      </w:r>
      <w:r>
        <w:rPr>
          <w:rFonts w:ascii="Arial" w:hAnsi="Arial"/>
          <w:b/>
          <w:i/>
          <w:color w:val="000080"/>
          <w:spacing w:val="-2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2020.</w:t>
      </w:r>
      <w:r>
        <w:rPr>
          <w:rFonts w:ascii="Arial" w:hAnsi="Arial"/>
          <w:b/>
          <w:i/>
          <w:color w:val="000080"/>
          <w:spacing w:val="1"/>
          <w:sz w:val="22"/>
        </w:rPr>
        <w:t> </w:t>
      </w:r>
      <w:r>
        <w:rPr>
          <w:rFonts w:ascii="Arial" w:hAnsi="Arial"/>
          <w:b/>
          <w:i/>
          <w:color w:val="000080"/>
          <w:sz w:val="22"/>
        </w:rPr>
        <w:t>GODINU</w:t>
      </w:r>
    </w:p>
    <w:p>
      <w:pPr>
        <w:pStyle w:val="BodyText"/>
        <w:spacing w:before="2"/>
        <w:rPr>
          <w:rFonts w:ascii="Arial"/>
          <w:b/>
          <w:i/>
          <w:sz w:val="20"/>
        </w:rPr>
      </w:pPr>
      <w:r>
        <w:rPr/>
        <w:pict>
          <v:group style="position:absolute;margin-left:76.919998pt;margin-top:12.816198pt;width:449.3pt;height:15.25pt;mso-position-horizontal-relative:page;mso-position-vertical-relative:paragraph;z-index:-15727616;mso-wrap-distance-left:0;mso-wrap-distance-right:0" id="docshapegroup7" coordorigin="1538,256" coordsize="8986,305">
            <v:shape style="position:absolute;left:1538;top:275;width:8986;height:267" id="docshape8" coordorigin="1538,276" coordsize="8986,267" path="m10524,276l6182,276,1538,276,1538,542,6182,542,10524,542,10524,276xe" filled="true" fillcolor="#bdbdbd" stroked="false">
              <v:path arrowok="t"/>
              <v:fill type="solid"/>
            </v:shape>
            <v:shape style="position:absolute;left:1538;top:256;width:8986;height:305" id="docshape9" coordorigin="1538,256" coordsize="8986,305" path="m10524,542l6202,542,1538,542,1538,561,6202,561,10524,561,10524,542xm10524,256l6202,256,1538,256,1538,276,6202,276,10524,276,10524,256xe" filled="true" fillcolor="#808080" stroked="false">
              <v:path arrowok="t"/>
              <v:fill type="solid"/>
            </v:shape>
            <v:shape style="position:absolute;left:1538;top:275;width:8986;height:267" type="#_x0000_t202" id="docshape10" filled="false" stroked="false">
              <v:textbox inset="0,0,0,0">
                <w:txbxContent>
                  <w:p>
                    <w:pPr>
                      <w:spacing w:before="63"/>
                      <w:ind w:left="0" w:right="682" w:firstLine="0"/>
                      <w:jc w:val="righ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000080"/>
                        <w:sz w:val="16"/>
                      </w:rPr>
                      <w:t>Plan</w:t>
                    </w:r>
                    <w:r>
                      <w:rPr>
                        <w:rFonts w:ascii="Arial"/>
                        <w:b/>
                        <w:color w:val="00008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000080"/>
                        <w:sz w:val="16"/>
                      </w:rPr>
                      <w:t>2020.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560005pt;margin-top:41.376198pt;width:449.3pt;height:1pt;mso-position-horizontal-relative:page;mso-position-vertical-relative:paragraph;z-index:-15727104;mso-wrap-distance-left:0;mso-wrap-distance-right:0" id="docshapegroup11" coordorigin="1531,828" coordsize="8986,20">
            <v:line style="position:absolute" from="1531,837" to="2719,837" stroked="true" strokeweight=".96pt" strokecolor="#808080">
              <v:stroke dashstyle="solid"/>
            </v:line>
            <v:rect style="position:absolute;left:2719;top:827;width:20;height:20" id="docshape12" filled="true" fillcolor="#808080" stroked="false">
              <v:fill type="solid"/>
            </v:rect>
            <v:line style="position:absolute" from="2738,837" to="6266,837" stroked="true" strokeweight=".96pt" strokecolor="#808080">
              <v:stroke dashstyle="solid"/>
            </v:line>
            <v:rect style="position:absolute;left:6266;top:827;width:20;height:20" id="docshape13" filled="true" fillcolor="#808080" stroked="false">
              <v:fill type="solid"/>
            </v:rect>
            <v:line style="position:absolute" from="6286,837" to="8354,837" stroked="true" strokeweight=".96pt" strokecolor="#808080">
              <v:stroke dashstyle="solid"/>
            </v:line>
            <v:rect style="position:absolute;left:8354;top:827;width:20;height:20" id="docshape14" filled="true" fillcolor="#808080" stroked="false">
              <v:fill type="solid"/>
            </v:rect>
            <v:line style="position:absolute" from="8374,837" to="10517,837" stroked="true" strokeweight=".96pt" strokecolor="#808080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Arial"/>
          <w:b/>
          <w:i/>
          <w:sz w:val="21"/>
        </w:rPr>
      </w:pPr>
    </w:p>
    <w:p>
      <w:pPr>
        <w:spacing w:before="42" w:after="42"/>
        <w:ind w:left="351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000080"/>
          <w:sz w:val="16"/>
        </w:rPr>
        <w:t>A.</w:t>
      </w:r>
      <w:r>
        <w:rPr>
          <w:rFonts w:ascii="Arial"/>
          <w:i/>
          <w:color w:val="000080"/>
          <w:spacing w:val="1"/>
          <w:sz w:val="16"/>
        </w:rPr>
        <w:t> </w:t>
      </w:r>
      <w:r>
        <w:rPr>
          <w:rFonts w:ascii="Arial"/>
          <w:i/>
          <w:color w:val="000080"/>
          <w:sz w:val="16"/>
        </w:rPr>
        <w:t>POSLOVNI</w:t>
      </w:r>
      <w:r>
        <w:rPr>
          <w:rFonts w:ascii="Arial"/>
          <w:i/>
          <w:color w:val="000080"/>
          <w:spacing w:val="-1"/>
          <w:sz w:val="16"/>
        </w:rPr>
        <w:t> </w:t>
      </w:r>
      <w:r>
        <w:rPr>
          <w:rFonts w:ascii="Arial"/>
          <w:i/>
          <w:color w:val="000080"/>
          <w:sz w:val="16"/>
        </w:rPr>
        <w:t>PRIHODI</w:t>
      </w:r>
    </w:p>
    <w:p>
      <w:pPr>
        <w:pStyle w:val="BodyText"/>
        <w:spacing w:line="20" w:lineRule="exact"/>
        <w:ind w:left="221"/>
        <w:rPr>
          <w:rFonts w:ascii="Arial"/>
          <w:sz w:val="2"/>
        </w:rPr>
      </w:pPr>
      <w:r>
        <w:rPr>
          <w:rFonts w:ascii="Arial"/>
          <w:sz w:val="2"/>
        </w:rPr>
        <w:pict>
          <v:group style="width:449.3pt;height:1pt;mso-position-horizontal-relative:char;mso-position-vertical-relative:line" id="docshapegroup15" coordorigin="0,0" coordsize="8986,20">
            <v:line style="position:absolute" from="0,10" to="1188,10" stroked="true" strokeweight=".96pt" strokecolor="#808080">
              <v:stroke dashstyle="solid"/>
            </v:line>
            <v:rect style="position:absolute;left:1188;top:0;width:20;height:20" id="docshape16" filled="true" fillcolor="#808080" stroked="false">
              <v:fill type="solid"/>
            </v:rect>
            <v:line style="position:absolute" from="1207,10" to="4735,10" stroked="true" strokeweight=".96pt" strokecolor="#808080">
              <v:stroke dashstyle="solid"/>
            </v:line>
            <v:rect style="position:absolute;left:4735;top:0;width:20;height:20" id="docshape17" filled="true" fillcolor="#808080" stroked="false">
              <v:fill type="solid"/>
            </v:rect>
            <v:line style="position:absolute" from="4754,10" to="6823,10" stroked="true" strokeweight=".96pt" strokecolor="#808080">
              <v:stroke dashstyle="solid"/>
            </v:line>
            <v:rect style="position:absolute;left:6823;top:0;width:20;height:20" id="docshape18" filled="true" fillcolor="#808080" stroked="false">
              <v:fill type="solid"/>
            </v:rect>
            <v:line style="position:absolute" from="6842,10" to="8986,10" stroked="true" strokeweight=".96pt" strokecolor="#80808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6"/>
        <w:rPr>
          <w:rFonts w:ascii="Arial"/>
          <w:i/>
          <w:sz w:val="19"/>
        </w:rPr>
      </w:pPr>
      <w:r>
        <w:rPr/>
        <w:pict>
          <v:shape style="position:absolute;margin-left:76.919006pt;margin-top:12.460015pt;width:449.3pt;height:.5pt;mso-position-horizontal-relative:page;mso-position-vertical-relative:paragraph;z-index:-15726080;mso-wrap-distance-left:0;mso-wrap-distance-right:0" id="docshape19" coordorigin="1538,249" coordsize="8986,10" path="m10524,249l6192,249,1538,249,1538,259,6192,259,10524,259,10524,249xe" filled="true" fillcolor="#808080" stroked="false">
            <v:path arrowok="t"/>
            <v:fill type="solid"/>
            <w10:wrap type="topAndBottom"/>
          </v:shape>
        </w:pict>
      </w:r>
    </w:p>
    <w:p>
      <w:pPr>
        <w:tabs>
          <w:tab w:pos="8808" w:val="left" w:leader="none"/>
        </w:tabs>
        <w:spacing w:before="44" w:after="22"/>
        <w:ind w:left="1536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Prihodi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od prodaje</w:t>
        <w:tab/>
        <w:t>0,00</w:t>
      </w:r>
    </w:p>
    <w:p>
      <w:pPr>
        <w:pStyle w:val="BodyText"/>
        <w:spacing w:line="20" w:lineRule="exact"/>
        <w:ind w:left="238"/>
        <w:rPr>
          <w:rFonts w:ascii="Arial"/>
          <w:sz w:val="2"/>
        </w:rPr>
      </w:pPr>
      <w:r>
        <w:rPr/>
        <w:pict>
          <v:shape style="position:absolute;margin-left:417.720032pt;margin-top:-39.840008pt;width:108.15pt;height:13.45pt;mso-position-horizontal-relative:page;mso-position-vertical-relative:paragraph;z-index:15732224" type="#_x0000_t202" id="docshape20" filled="true" fillcolor="#bdbdbd" stroked="false">
            <v:textbox inset="0,0,0,0">
              <w:txbxContent>
                <w:p>
                  <w:pPr>
                    <w:spacing w:before="42"/>
                    <w:ind w:left="1135" w:right="0" w:firstLine="0"/>
                    <w:jc w:val="left"/>
                    <w:rPr>
                      <w:rFonts w:ascii="Arial"/>
                      <w:color w:val="000000"/>
                      <w:sz w:val="16"/>
                    </w:rPr>
                  </w:pPr>
                  <w:r>
                    <w:rPr>
                      <w:rFonts w:ascii="Arial"/>
                      <w:color w:val="000000"/>
                      <w:sz w:val="16"/>
                    </w:rPr>
                    <w:t>1.125.101,57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/>
          <w:sz w:val="2"/>
        </w:rPr>
        <w:pict>
          <v:group style="width:449.3pt;height:.5pt;mso-position-horizontal-relative:char;mso-position-vertical-relative:line" id="docshapegroup21" coordorigin="0,0" coordsize="8986,10">
            <v:shape style="position:absolute;left:-1;top:0;width:8986;height:10" id="docshape22" coordorigin="0,0" coordsize="8986,10" path="m8986,0l4654,0,0,0,0,10,4654,10,8986,10,8986,0xe" filled="true" fillcolor="#80808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8189" w:val="left" w:leader="none"/>
        </w:tabs>
        <w:spacing w:before="38" w:after="24"/>
        <w:ind w:left="1536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Prihodi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od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subvencija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i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dotacija</w:t>
        <w:tab/>
        <w:t>1.125.101,57</w:t>
      </w:r>
    </w:p>
    <w:tbl>
      <w:tblPr>
        <w:tblW w:w="0" w:type="auto"/>
        <w:jc w:val="left"/>
        <w:tblInd w:w="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8"/>
        <w:gridCol w:w="2269"/>
        <w:gridCol w:w="2170"/>
      </w:tblGrid>
      <w:tr>
        <w:trPr>
          <w:trHeight w:val="261" w:hRule="atLeast"/>
        </w:trPr>
        <w:tc>
          <w:tcPr>
            <w:tcW w:w="4548" w:type="dxa"/>
            <w:tcBorders>
              <w:top w:val="single" w:sz="4" w:space="0" w:color="808080"/>
            </w:tcBorders>
          </w:tcPr>
          <w:p>
            <w:pPr>
              <w:pStyle w:val="TableParagraph"/>
              <w:spacing w:line="178" w:lineRule="exact" w:before="63"/>
              <w:ind w:left="1645" w:right="2136"/>
              <w:jc w:val="center"/>
              <w:rPr>
                <w:sz w:val="16"/>
              </w:rPr>
            </w:pPr>
            <w:r>
              <w:rPr>
                <w:sz w:val="16"/>
              </w:rPr>
              <w:t>Grad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NG</w:t>
            </w:r>
          </w:p>
        </w:tc>
        <w:tc>
          <w:tcPr>
            <w:tcW w:w="2269" w:type="dxa"/>
            <w:tcBorders>
              <w:top w:val="single" w:sz="4" w:space="0" w:color="808080"/>
            </w:tcBorders>
          </w:tcPr>
          <w:p>
            <w:pPr>
              <w:pStyle w:val="TableParagraph"/>
              <w:spacing w:line="178" w:lineRule="exact" w:before="63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610.184,59</w:t>
            </w:r>
          </w:p>
        </w:tc>
        <w:tc>
          <w:tcPr>
            <w:tcW w:w="2170" w:type="dxa"/>
            <w:vMerge w:val="restart"/>
            <w:tcBorders>
              <w:top w:val="single" w:sz="4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4548" w:type="dxa"/>
            <w:tcBorders>
              <w:bottom w:val="single" w:sz="8" w:space="0" w:color="808080"/>
            </w:tcBorders>
          </w:tcPr>
          <w:p>
            <w:pPr>
              <w:pStyle w:val="TableParagraph"/>
              <w:spacing w:before="9"/>
              <w:ind w:left="1687" w:right="2136"/>
              <w:jc w:val="center"/>
              <w:rPr>
                <w:sz w:val="16"/>
              </w:rPr>
            </w:pPr>
            <w:r>
              <w:rPr>
                <w:sz w:val="16"/>
              </w:rPr>
              <w:t>MRRFEU</w:t>
            </w:r>
          </w:p>
        </w:tc>
        <w:tc>
          <w:tcPr>
            <w:tcW w:w="2269" w:type="dxa"/>
            <w:tcBorders>
              <w:bottom w:val="single" w:sz="8" w:space="0" w:color="808080"/>
            </w:tcBorders>
          </w:tcPr>
          <w:p>
            <w:pPr>
              <w:pStyle w:val="TableParagraph"/>
              <w:spacing w:before="9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514.916,98</w:t>
            </w:r>
          </w:p>
        </w:tc>
        <w:tc>
          <w:tcPr>
            <w:tcW w:w="2170" w:type="dxa"/>
            <w:vMerge/>
            <w:tcBorders>
              <w:top w:val="nil"/>
              <w:bottom w:val="single" w:sz="8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20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B.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POSLOVNI</w:t>
            </w:r>
            <w:r>
              <w:rPr>
                <w:i/>
                <w:color w:val="000080"/>
                <w:spacing w:val="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RASHODI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BDBDBD"/>
          </w:tcPr>
          <w:p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1.075.542,12</w:t>
            </w:r>
          </w:p>
        </w:tc>
      </w:tr>
      <w:tr>
        <w:trPr>
          <w:trHeight w:val="232" w:hRule="atLeast"/>
        </w:trPr>
        <w:tc>
          <w:tcPr>
            <w:tcW w:w="4548" w:type="dxa"/>
            <w:tcBorders>
              <w:top w:val="single" w:sz="8" w:space="0" w:color="808080"/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4548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27"/>
              <w:ind w:left="1303"/>
              <w:rPr>
                <w:sz w:val="16"/>
              </w:rPr>
            </w:pPr>
            <w:r>
              <w:rPr>
                <w:sz w:val="16"/>
              </w:rPr>
              <w:t>1. 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troškovi</w:t>
            </w: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27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36.720,00</w:t>
            </w:r>
          </w:p>
        </w:tc>
      </w:tr>
      <w:tr>
        <w:trPr>
          <w:trHeight w:val="251" w:hRule="atLeast"/>
        </w:trPr>
        <w:tc>
          <w:tcPr>
            <w:tcW w:w="4548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29"/>
              <w:ind w:left="1303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Troškovi usluga</w:t>
            </w: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29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107.700,00</w:t>
            </w:r>
          </w:p>
        </w:tc>
      </w:tr>
      <w:tr>
        <w:trPr>
          <w:trHeight w:val="249" w:hRule="atLeast"/>
        </w:trPr>
        <w:tc>
          <w:tcPr>
            <w:tcW w:w="4548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29"/>
              <w:ind w:left="1303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Ostali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troškovi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poslovanja</w:t>
            </w:r>
          </w:p>
        </w:tc>
        <w:tc>
          <w:tcPr>
            <w:tcW w:w="2269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29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297.000,00</w:t>
            </w:r>
          </w:p>
        </w:tc>
      </w:tr>
      <w:tr>
        <w:trPr>
          <w:trHeight w:val="251" w:hRule="atLeast"/>
        </w:trPr>
        <w:tc>
          <w:tcPr>
            <w:tcW w:w="4548" w:type="dxa"/>
            <w:tcBorders>
              <w:top w:val="single" w:sz="4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2"/>
              <w:ind w:left="1303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Troškovi osoblja</w:t>
            </w:r>
          </w:p>
        </w:tc>
        <w:tc>
          <w:tcPr>
            <w:tcW w:w="2269" w:type="dxa"/>
            <w:tcBorders>
              <w:top w:val="single" w:sz="4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4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634.122,12</w:t>
            </w: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C.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FINANCIJSKI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PRIHODI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9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D.</w:t>
            </w:r>
            <w:r>
              <w:rPr>
                <w:i/>
                <w:color w:val="000080"/>
                <w:spacing w:val="-2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FINANCIJSKI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RASHODI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9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E. IZVANREDNI</w:t>
            </w:r>
            <w:r>
              <w:rPr>
                <w:i/>
                <w:color w:val="000080"/>
                <w:spacing w:val="-2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PRIHODI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9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F. IZVANREDNI</w:t>
            </w:r>
            <w:r>
              <w:rPr>
                <w:i/>
                <w:color w:val="000080"/>
                <w:spacing w:val="-2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RASHODI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9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51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UKUPNI</w:t>
            </w:r>
            <w:r>
              <w:rPr>
                <w:i/>
                <w:color w:val="000080"/>
                <w:spacing w:val="-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PRIHOD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1.125.101,57</w:t>
            </w:r>
          </w:p>
        </w:tc>
      </w:tr>
      <w:tr>
        <w:trPr>
          <w:trHeight w:val="263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9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UKUPNI RASHOD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9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1.075.542,12</w:t>
            </w:r>
          </w:p>
        </w:tc>
      </w:tr>
      <w:tr>
        <w:trPr>
          <w:trHeight w:val="267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4548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left="117"/>
              <w:rPr>
                <w:i/>
                <w:sz w:val="16"/>
              </w:rPr>
            </w:pPr>
            <w:r>
              <w:rPr>
                <w:i/>
                <w:color w:val="000080"/>
                <w:sz w:val="16"/>
              </w:rPr>
              <w:t>DOBIT</w:t>
            </w:r>
            <w:r>
              <w:rPr>
                <w:i/>
                <w:color w:val="000080"/>
                <w:spacing w:val="-3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prije</w:t>
            </w:r>
            <w:r>
              <w:rPr>
                <w:i/>
                <w:color w:val="000080"/>
                <w:spacing w:val="1"/>
                <w:sz w:val="16"/>
              </w:rPr>
              <w:t> </w:t>
            </w:r>
            <w:r>
              <w:rPr>
                <w:i/>
                <w:color w:val="000080"/>
                <w:sz w:val="16"/>
              </w:rPr>
              <w:t>oporezivanja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TableParagraph"/>
              <w:spacing w:before="36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49.559,45</w:t>
            </w:r>
          </w:p>
        </w:tc>
      </w:tr>
      <w:tr>
        <w:trPr>
          <w:trHeight w:val="750" w:hRule="atLeast"/>
        </w:trPr>
        <w:tc>
          <w:tcPr>
            <w:tcW w:w="4548" w:type="dxa"/>
            <w:tcBorders>
              <w:top w:val="single" w:sz="8" w:space="0" w:color="808080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POREZ**</w:t>
            </w:r>
          </w:p>
        </w:tc>
        <w:tc>
          <w:tcPr>
            <w:tcW w:w="2269" w:type="dxa"/>
            <w:tcBorders>
              <w:top w:val="single" w:sz="8" w:space="0" w:color="80808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8" w:space="0" w:color="808080"/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5.947,13</w:t>
            </w:r>
          </w:p>
        </w:tc>
      </w:tr>
      <w:tr>
        <w:trPr>
          <w:trHeight w:val="501" w:hRule="atLeast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BDBD"/>
          </w:tcPr>
          <w:p>
            <w:pPr>
              <w:pStyle w:val="TableParagraph"/>
              <w:spacing w:before="27"/>
              <w:ind w:left="11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DOBIT</w:t>
            </w:r>
            <w:r>
              <w:rPr>
                <w:b/>
                <w:color w:val="000080"/>
                <w:spacing w:val="-3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nakon</w:t>
            </w:r>
            <w:r>
              <w:rPr>
                <w:b/>
                <w:color w:val="000080"/>
                <w:spacing w:val="1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oporezivanja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DBDBD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>
            <w:pPr>
              <w:pStyle w:val="TableParagraph"/>
              <w:spacing w:before="29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43.612,32</w:t>
            </w:r>
          </w:p>
        </w:tc>
      </w:tr>
    </w:tbl>
    <w:p>
      <w:pPr>
        <w:spacing w:after="0"/>
        <w:jc w:val="right"/>
        <w:rPr>
          <w:sz w:val="16"/>
        </w:rPr>
        <w:sectPr>
          <w:headerReference w:type="default" r:id="rId9"/>
          <w:footerReference w:type="default" r:id="rId10"/>
          <w:pgSz w:w="11910" w:h="16840"/>
          <w:pgMar w:header="692" w:footer="772" w:top="1660" w:bottom="960" w:left="1300" w:right="1260"/>
          <w:pgNumType w:start="5"/>
        </w:sectPr>
      </w:pPr>
    </w:p>
    <w:p>
      <w:pPr>
        <w:spacing w:before="80"/>
        <w:ind w:left="118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ZAKLJUČAK</w:t>
      </w:r>
    </w:p>
    <w:p>
      <w:pPr>
        <w:pStyle w:val="BodyText"/>
        <w:spacing w:before="5"/>
        <w:rPr>
          <w:b/>
          <w:i/>
          <w:sz w:val="27"/>
        </w:rPr>
      </w:pPr>
    </w:p>
    <w:p>
      <w:pPr>
        <w:pStyle w:val="BodyText"/>
        <w:spacing w:line="300" w:lineRule="auto" w:before="90"/>
        <w:ind w:left="118" w:right="147"/>
        <w:jc w:val="both"/>
      </w:pPr>
      <w:r>
        <w:rPr/>
        <w:t>Definirani</w:t>
      </w:r>
      <w:r>
        <w:rPr>
          <w:spacing w:val="-1"/>
        </w:rPr>
        <w:t> </w:t>
      </w:r>
      <w:r>
        <w:rPr/>
        <w:t>ciljevi</w:t>
      </w:r>
      <w:r>
        <w:rPr>
          <w:spacing w:val="-6"/>
        </w:rPr>
        <w:t> </w:t>
      </w:r>
      <w:r>
        <w:rPr/>
        <w:t>poslovanja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2021.</w:t>
      </w:r>
      <w:r>
        <w:rPr>
          <w:spacing w:val="-1"/>
        </w:rPr>
        <w:t> </w:t>
      </w:r>
      <w:r>
        <w:rPr/>
        <w:t>godini</w:t>
      </w:r>
      <w:r>
        <w:rPr>
          <w:spacing w:val="-3"/>
        </w:rPr>
        <w:t> </w:t>
      </w:r>
      <w:r>
        <w:rPr/>
        <w:t>u</w:t>
      </w:r>
      <w:r>
        <w:rPr>
          <w:spacing w:val="-6"/>
        </w:rPr>
        <w:t> </w:t>
      </w:r>
      <w:r>
        <w:rPr/>
        <w:t>potpunosti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usklađeni</w:t>
      </w:r>
      <w:r>
        <w:rPr>
          <w:spacing w:val="-6"/>
        </w:rPr>
        <w:t> </w:t>
      </w:r>
      <w:r>
        <w:rPr/>
        <w:t>i</w:t>
      </w:r>
      <w:r>
        <w:rPr>
          <w:spacing w:val="-1"/>
        </w:rPr>
        <w:t> </w:t>
      </w:r>
      <w:r>
        <w:rPr/>
        <w:t>proizlaze</w:t>
      </w:r>
      <w:r>
        <w:rPr>
          <w:spacing w:val="-3"/>
        </w:rPr>
        <w:t> </w:t>
      </w:r>
      <w:r>
        <w:rPr/>
        <w:t>iz</w:t>
      </w:r>
      <w:r>
        <w:rPr>
          <w:spacing w:val="-5"/>
        </w:rPr>
        <w:t> </w:t>
      </w:r>
      <w:r>
        <w:rPr/>
        <w:t>definiranih</w:t>
      </w:r>
      <w:r>
        <w:rPr>
          <w:spacing w:val="-58"/>
        </w:rPr>
        <w:t> </w:t>
      </w:r>
      <w:r>
        <w:rPr/>
        <w:t>strateških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financijskih</w:t>
      </w:r>
      <w:r>
        <w:rPr>
          <w:spacing w:val="-3"/>
        </w:rPr>
        <w:t> </w:t>
      </w:r>
      <w:r>
        <w:rPr/>
        <w:t>planova</w:t>
      </w:r>
      <w:r>
        <w:rPr>
          <w:spacing w:val="-6"/>
        </w:rPr>
        <w:t> </w:t>
      </w:r>
      <w:r>
        <w:rPr/>
        <w:t>razvoja</w:t>
      </w:r>
      <w:r>
        <w:rPr>
          <w:spacing w:val="-5"/>
        </w:rPr>
        <w:t> </w:t>
      </w:r>
      <w:r>
        <w:rPr/>
        <w:t>društva</w:t>
      </w:r>
      <w:r>
        <w:rPr>
          <w:spacing w:val="-3"/>
        </w:rPr>
        <w:t> </w:t>
      </w:r>
      <w:r>
        <w:rPr/>
        <w:t>Centar</w:t>
      </w:r>
      <w:r>
        <w:rPr>
          <w:spacing w:val="-6"/>
        </w:rPr>
        <w:t> </w:t>
      </w:r>
      <w:r>
        <w:rPr/>
        <w:t>kompetencija</w:t>
      </w:r>
      <w:r>
        <w:rPr>
          <w:spacing w:val="-1"/>
        </w:rPr>
        <w:t> </w:t>
      </w:r>
      <w:r>
        <w:rPr/>
        <w:t>za</w:t>
      </w:r>
      <w:r>
        <w:rPr>
          <w:spacing w:val="-5"/>
        </w:rPr>
        <w:t> </w:t>
      </w:r>
      <w:r>
        <w:rPr/>
        <w:t>napredno</w:t>
      </w:r>
      <w:r>
        <w:rPr>
          <w:spacing w:val="-3"/>
        </w:rPr>
        <w:t> </w:t>
      </w:r>
      <w:r>
        <w:rPr/>
        <w:t>inženjerstvo</w:t>
      </w:r>
      <w:r>
        <w:rPr>
          <w:spacing w:val="-58"/>
        </w:rPr>
        <w:t> </w:t>
      </w:r>
      <w:r>
        <w:rPr/>
        <w:t>Nova</w:t>
      </w:r>
      <w:r>
        <w:rPr>
          <w:spacing w:val="-4"/>
        </w:rPr>
        <w:t> </w:t>
      </w:r>
      <w:r>
        <w:rPr/>
        <w:t>Gradiška, te razvojnih planova Grada Nova</w:t>
      </w:r>
      <w:r>
        <w:rPr>
          <w:spacing w:val="-1"/>
        </w:rPr>
        <w:t> </w:t>
      </w:r>
      <w:r>
        <w:rPr/>
        <w:t>Gradiška.</w:t>
      </w:r>
    </w:p>
    <w:p>
      <w:pPr>
        <w:pStyle w:val="BodyText"/>
        <w:rPr>
          <w:sz w:val="30"/>
        </w:rPr>
      </w:pPr>
    </w:p>
    <w:p>
      <w:pPr>
        <w:pStyle w:val="BodyText"/>
        <w:spacing w:line="300" w:lineRule="auto"/>
        <w:ind w:left="118" w:right="148"/>
        <w:jc w:val="both"/>
      </w:pPr>
      <w:r>
        <w:rPr/>
        <w:t>Iz Plana je vidljivo da su aktivnosti Društva usmjerene na poslove i aktivnosti provedbe</w:t>
      </w:r>
      <w:r>
        <w:rPr>
          <w:spacing w:val="1"/>
        </w:rPr>
        <w:t> </w:t>
      </w:r>
      <w:r>
        <w:rPr/>
        <w:t>projekta, te za poslovnu infrastrukturu (poslovnu građevinu, opremu, strojeve) i provedbu</w:t>
      </w:r>
      <w:r>
        <w:rPr>
          <w:spacing w:val="1"/>
        </w:rPr>
        <w:t> </w:t>
      </w:r>
      <w:r>
        <w:rPr/>
        <w:t>projektnih</w:t>
      </w:r>
      <w:r>
        <w:rPr>
          <w:spacing w:val="-1"/>
        </w:rPr>
        <w:t> </w:t>
      </w:r>
      <w:r>
        <w:rPr/>
        <w:t>aktivnosti</w:t>
      </w:r>
      <w:r>
        <w:rPr>
          <w:spacing w:val="2"/>
        </w:rPr>
        <w:t> </w:t>
      </w:r>
      <w:r>
        <w:rPr/>
        <w:t>Centra</w:t>
      </w:r>
      <w:r>
        <w:rPr>
          <w:spacing w:val="-3"/>
        </w:rPr>
        <w:t> </w:t>
      </w:r>
      <w:r>
        <w:rPr/>
        <w:t>kompetencija za</w:t>
      </w:r>
      <w:r>
        <w:rPr>
          <w:spacing w:val="-3"/>
        </w:rPr>
        <w:t> </w:t>
      </w:r>
      <w:r>
        <w:rPr/>
        <w:t>napredno inženjerstvo Nova Gradiška.</w:t>
      </w:r>
    </w:p>
    <w:p>
      <w:pPr>
        <w:pStyle w:val="BodyText"/>
        <w:rPr>
          <w:sz w:val="30"/>
        </w:rPr>
      </w:pPr>
    </w:p>
    <w:p>
      <w:pPr>
        <w:pStyle w:val="BodyText"/>
        <w:spacing w:line="297" w:lineRule="auto"/>
        <w:ind w:left="118" w:right="145"/>
        <w:jc w:val="both"/>
      </w:pPr>
      <w:r>
        <w:rPr/>
        <w:t>Navedeni plan ukazuje da je u 2021.godini osiguran rast i razvoj, te likvidnost i profitabilnost</w:t>
      </w:r>
      <w:r>
        <w:rPr>
          <w:spacing w:val="1"/>
        </w:rPr>
        <w:t> </w:t>
      </w:r>
      <w:r>
        <w:rPr/>
        <w:t>Društva.</w:t>
      </w:r>
    </w:p>
    <w:p>
      <w:pPr>
        <w:pStyle w:val="BodyText"/>
        <w:spacing w:before="5"/>
        <w:rPr>
          <w:sz w:val="30"/>
        </w:rPr>
      </w:pPr>
    </w:p>
    <w:p>
      <w:pPr>
        <w:pStyle w:val="BodyText"/>
        <w:ind w:left="118"/>
        <w:jc w:val="both"/>
      </w:pPr>
      <w:r>
        <w:rPr/>
        <w:t>U</w:t>
      </w:r>
      <w:r>
        <w:rPr>
          <w:spacing w:val="-1"/>
        </w:rPr>
        <w:t> </w:t>
      </w:r>
      <w:r>
        <w:rPr/>
        <w:t>Novoj</w:t>
      </w:r>
      <w:r>
        <w:rPr>
          <w:spacing w:val="-1"/>
        </w:rPr>
        <w:t> </w:t>
      </w:r>
      <w:r>
        <w:rPr/>
        <w:t>Gradiški, 04.12.2020.</w:t>
      </w:r>
      <w:r>
        <w:rPr>
          <w:spacing w:val="-1"/>
        </w:rPr>
        <w:t> </w:t>
      </w:r>
      <w:r>
        <w:rPr/>
        <w:t>godine.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18pt;margin-top:11.12417pt;width:207.4pt;height:54.7pt;mso-position-horizontal-relative:page;mso-position-vertical-relative:paragraph;z-index:-15724544;mso-wrap-distance-left:0;mso-wrap-distance-right:0" id="docshapegroup23" coordorigin="6360,222" coordsize="4148,1094">
            <v:line style="position:absolute" from="7728,1039" to="10488,1039" stroked="true" strokeweight=".48pt" strokecolor="#000000">
              <v:stroke dashstyle="solid"/>
            </v:line>
            <v:shape style="position:absolute;left:6360;top:462;width:2139;height:850" type="#_x0000_t75" id="docshape24" stroked="false">
              <v:imagedata r:id="rId11" o:title=""/>
            </v:shape>
            <v:shape style="position:absolute;left:7958;top:407;width:2504;height:682" type="#_x0000_t75" id="docshape25" stroked="false">
              <v:imagedata r:id="rId12" o:title=""/>
            </v:shape>
            <v:shape style="position:absolute;left:9674;top:222;width:834;height:266" type="#_x0000_t202" id="docshape26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Direktor</w:t>
                    </w:r>
                  </w:p>
                </w:txbxContent>
              </v:textbox>
              <w10:wrap type="none"/>
            </v:shape>
            <v:shape style="position:absolute;left:7780;top:1050;width:2725;height:266" type="#_x0000_t202" id="docshape27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Adam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Đanić, univ.spec.oec.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840"/>
      <w:pgMar w:header="692" w:footer="772" w:top="1660" w:bottom="960" w:left="13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5.400024pt;margin-top:792.306213pt;width:13pt;height:15.3pt;mso-position-horizontal-relative:page;mso-position-vertical-relative:page;z-index:-16446976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5.400024pt;margin-top:792.306213pt;width:13pt;height:15.3pt;mso-position-horizontal-relative:page;mso-position-vertical-relative:page;z-index:-16444928" type="#_x0000_t202" id="docshape6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48512" from="52.919998pt,35.400002pt" to="538.919998pt,35.400002pt" stroked="true" strokeweight="1.56pt" strokecolor="#5b9ad4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6448000" from="52.800003pt,60.719997pt" to="538.920pt,60.84pt" stroked="true" strokeweight="1.56pt" strokecolor="#5b9ad4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00003pt;margin-top:40.746239pt;width:454pt;height:15.3pt;mso-position-horizontal-relative:page;mso-position-vertical-relative:page;z-index:-16447488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CENTAR</w:t>
                </w:r>
                <w:r>
                  <w:rPr>
                    <w:spacing w:val="-1"/>
                  </w:rPr>
                  <w:t> </w:t>
                </w:r>
                <w:r>
                  <w:rPr/>
                  <w:t>KOMPETENCIJA</w:t>
                </w:r>
                <w:r>
                  <w:rPr>
                    <w:spacing w:val="-1"/>
                  </w:rPr>
                  <w:t> </w:t>
                </w:r>
                <w:r>
                  <w:rPr/>
                  <w:t>ZA</w:t>
                </w:r>
                <w:r>
                  <w:rPr>
                    <w:spacing w:val="-1"/>
                  </w:rPr>
                  <w:t> </w:t>
                </w:r>
                <w:r>
                  <w:rPr/>
                  <w:t>NAPREDNO</w:t>
                </w:r>
                <w:r>
                  <w:rPr>
                    <w:spacing w:val="1"/>
                  </w:rPr>
                  <w:t> </w:t>
                </w:r>
                <w:r>
                  <w:rPr/>
                  <w:t>INŽENJERSTVO</w:t>
                </w:r>
                <w:r>
                  <w:rPr>
                    <w:spacing w:val="-4"/>
                  </w:rPr>
                  <w:t> </w:t>
                </w:r>
                <w:r>
                  <w:rPr/>
                  <w:t>NOVA GRADIŠKA</w:t>
                </w:r>
                <w:r>
                  <w:rPr>
                    <w:spacing w:val="-1"/>
                  </w:rPr>
                  <w:t> </w:t>
                </w:r>
                <w:r>
                  <w:rPr/>
                  <w:t>d.o.o.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446464" from="52.919998pt,35.400002pt" to="538.919998pt,35.400002pt" stroked="true" strokeweight="1.56pt" strokecolor="#5b9ad4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6445952" from="52.800003pt,60.719997pt" to="538.920pt,60.84pt" stroked="true" strokeweight="1.56pt" strokecolor="#5b9ad4">
          <v:stroke dashstyle="solid"/>
          <w10:wrap type="none"/>
        </v:line>
      </w:pict>
    </w:r>
    <w:r>
      <w:rPr/>
      <w:pict>
        <v:shape style="position:absolute;margin-left:69.800003pt;margin-top:40.746239pt;width:454pt;height:15.3pt;mso-position-horizontal-relative:page;mso-position-vertical-relative:page;z-index:-16445440" type="#_x0000_t202" id="docshape5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CENTAR</w:t>
                </w:r>
                <w:r>
                  <w:rPr>
                    <w:spacing w:val="-1"/>
                  </w:rPr>
                  <w:t> </w:t>
                </w:r>
                <w:r>
                  <w:rPr/>
                  <w:t>KOMPETENCIJA</w:t>
                </w:r>
                <w:r>
                  <w:rPr>
                    <w:spacing w:val="-1"/>
                  </w:rPr>
                  <w:t> </w:t>
                </w:r>
                <w:r>
                  <w:rPr/>
                  <w:t>ZA</w:t>
                </w:r>
                <w:r>
                  <w:rPr>
                    <w:spacing w:val="-1"/>
                  </w:rPr>
                  <w:t> </w:t>
                </w:r>
                <w:r>
                  <w:rPr/>
                  <w:t>NAPREDNO</w:t>
                </w:r>
                <w:r>
                  <w:rPr>
                    <w:spacing w:val="1"/>
                  </w:rPr>
                  <w:t> </w:t>
                </w:r>
                <w:r>
                  <w:rPr/>
                  <w:t>INŽENJERSTVO</w:t>
                </w:r>
                <w:r>
                  <w:rPr>
                    <w:spacing w:val="-4"/>
                  </w:rPr>
                  <w:t> </w:t>
                </w:r>
                <w:r>
                  <w:rPr/>
                  <w:t>NOVA GRADIŠKA</w:t>
                </w:r>
                <w:r>
                  <w:rPr>
                    <w:spacing w:val="-1"/>
                  </w:rPr>
                  <w:t> </w:t>
                </w:r>
                <w:r>
                  <w:rPr/>
                  <w:t>d.o.o.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26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"/>
      <w:lvlJc w:val="left"/>
      <w:pPr>
        <w:ind w:left="1186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08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8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ind w:left="615" w:right="606"/>
      <w:jc w:val="center"/>
    </w:pPr>
    <w:rPr>
      <w:rFonts w:ascii="Times New Roman" w:hAnsi="Times New Roman" w:eastAsia="Times New Roman" w:cs="Times New Roman"/>
      <w:b/>
      <w:bCs/>
      <w:sz w:val="40"/>
      <w:szCs w:val="40"/>
    </w:rPr>
  </w:style>
  <w:style w:styleId="ListParagraph" w:type="paragraph">
    <w:name w:val="List Paragraph"/>
    <w:basedOn w:val="Normal"/>
    <w:uiPriority w:val="1"/>
    <w:qFormat/>
    <w:pPr>
      <w:spacing w:before="68"/>
      <w:ind w:left="826" w:hanging="709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dc:title>Microsoft Word - Plan rada i financijski plan za 2021.docx</dc:title>
  <dcterms:created xsi:type="dcterms:W3CDTF">2022-03-28T19:38:53Z</dcterms:created>
  <dcterms:modified xsi:type="dcterms:W3CDTF">2022-03-28T19:38:53Z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LastSaved">
    <vt:filetime>2022-03-28T00:00:00Z</vt:filetime>
  </property>
</Properties>
</file>